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cde05b16fec4e9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9675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STJEPANA RADIĆA ČAGLIN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1.850.144,96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1.617.329,23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1.527.342,44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1.712.247,89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94.918,66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315.889,84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83.273,11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315.889,84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83.273,11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178.191,77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1.1.2025.-31.12.2025. godine Osnovna škola Stjepana Radića Čaglin  ostvarila je prihode poslovanja u iznosu od 1.617.329,23 EUR-a . Nije bilo značajnije promjene pri ostvarenju prihoda.  U razdoblju od 1.1.2025.-31.12.2025. godine Osnovna škola Stjepana Radića Čaglin  ostvarila je rashode  poslovanja u iznosu od 1.712.247,89 EUR-a. Značajnije povećanje rashoda poslovanja evidentirano je na rashodima za zaposlene uslijed povećanja plaća i evidentiranja plaće za prosinac 2025.  prema novom Pravilniku o proračunskom računovodstvu i Računskom planu prema kojem se ukida podskupina 193 na kojem su bila knjiženja vremenska razgraničenja na kojoj je knjižena  plaća, tako da je u ovom izvještajnom razdoblju knjiženo 12 rashoda za plaće za zaposlene, za plaće zaposlenih u vrtiću i za plaće pomoćnika u nastavi. Najznačajnije smanjenje rashoda vidljivo  je pri nabavi nefinancijske imovine u sklopu CDŠ.  U navedenom razdoblju nema ostvarenih prihoda od prodaje nefinancijske imovine, te nije bilo ostvarenih primitaka i izdataka od financijske imovine i zaduživanja.   U razdoblju od 1. siječnja do 31. prosinca 2025. godine ostvaren je ukupan manjak prihoda u iznosu od 178.191,77 EUR-a.   Preneseni višak iz prethodnog razdoblja iznosi 55.841,89 EUR te je slijedom toga ostvaren  rezultat – manjak prihoda i primitaka za pokriće u sljedećem razdoblju u iznosu 122.349,88 EUR.  Do manjka najvećim dijelom dolazi zbog knjiženja: plaća redovnih djelatnika, plaće u vrtiću i plaće pomoćnika u nastavi za mjesec prosinac 2025.  kao rashod poslovanja za koji nema evidentiranog prihoda, a koji se dosad knjižilo na rashode budućih razdoblja.  Također, rashodi za prehranu učenika knjiženi su kao rashod, a prihod još nije pristigao. Prihodi koje Škola dobiva u sklopu CDŠ-a također nisu sjeli u cjelokupnom iznosu nego u manjem iznosu nego je predviđeno u 2025. godini. Prihodi od nadležnog proračuna za nepodmirene račune za rashode poslovanja u sklopu funkcija koje se decentraliziraju.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26.186,04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Ostvarenje u izvještajnom razdoblju u odnosu na ostvarenje u prethodnom razdoblju ne pokazuje indeks jer je u prethodnom razdoblju ostvaren prihod za financiranje mjere Hrvatskog zavoda za zapošljavanje – mjera pripravništva koja je u 2025. godini završena.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13.733,57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50.034,06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364,3</w:t>
            </w:r>
          </w:p>
        </w:tc>
      </w:tr>
    </w:tbl>
    <w:p>
      <w:pPr>
        <w:spacing w:before="0" w:after="0"/>
      </w:pPr>
    </w:p>
    <w:p>
      <w:r>
        <w:t xml:space="preserve">Ostvarenje u izvještajnom razdoblju u odnosu na ostvarenje u prethodnom razdoblju ukazuje na znatno povećanje kapitalnih pomoći za nabavu nefinancijske imovine. Evidentirana je uplata od Državnog proračuna za nabavu nefinancijske imovine  u sklopu CDŠ, za nabavu trajnih udžbenika i lektire te kapitalnu pomoć za projekt Kulturna baština.  U 2025. godini Škola ostvaruje prekograničnu suradnju te dobiva kapitalnu pomoć za kupovinu  opreme.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2.778,40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Ostvarenje u izvještajnom razdoblju u odnosu na ostvarenje u prethodnom razdoblju ne pokazuje indeks jer je u izvještajnom razdoblju ostvaren prihod za Erasmus po završnom izvješću, a u izvještajnom razdoblju prethodne nije bilo prihoda za Erasmus.</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12.541,66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569,6</w:t>
            </w:r>
          </w:p>
        </w:tc>
      </w:tr>
    </w:tbl>
    <w:p>
      <w:pPr>
        <w:spacing w:before="0" w:after="0"/>
      </w:pPr>
    </w:p>
    <w:p>
      <w:r>
        <w:t xml:space="preserve">Ostvarenje u izvještajnom razdoblju u odnosu na ostvarenje u prethodnom razdoblju pokazuje značajno uvećanje indeksa jer je u izvještajnom razdoblju ostvaren i knjižen prihod za isplatu plaće pomoćnika u nastavi koji u prethodnom razdoblju nije knjižen na taj konto.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Ostvarenje u izvještajnom razdoblju u odnosu na ostvarenje u prethodnom razdoblju ne pokazuje indeks jer je u izvještajnom razdoblju ostvaren prihod od osiguranja za štetu na školskom kombiju.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Ostvarenje u izvještajnom razdoblju u odnosu na ostvarenje u prethodnom razdoblju ne pokazuje indeks jer je u izvještajnom razdoblju ostvaren prihod za prodaju starog papira.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209,0</w:t>
            </w:r>
          </w:p>
        </w:tc>
      </w:tr>
    </w:tbl>
    <w:p>
      <w:pPr>
        <w:spacing w:before="0" w:after="0"/>
      </w:pPr>
    </w:p>
    <w:p>
      <w:r>
        <w:t xml:space="preserve">Ostvarenje u izvještajnom razdoblju u odnosu na ostvarenje u prethodnom razdoblju ne pokazuje indeks jer su u izvještajnom razdoblju ostvarene donacije za dnevnice učitelja te donacija od Crvenog križa za potrebe škole.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69.042,49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99.542,80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144,2</w:t>
            </w:r>
          </w:p>
        </w:tc>
      </w:tr>
    </w:tbl>
    <w:p>
      <w:pPr>
        <w:spacing w:before="0" w:after="0"/>
      </w:pPr>
    </w:p>
    <w:p>
      <w:r>
        <w:t xml:space="preserve">Ostvarenje u izvještajnom razdoblju u odnosu na ostvarenje u prethodnom razdoblju pokazuje povećanje prihoda od nadležnog proračuna za financiranje rashoda poslovanja.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144.194,81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9.153,28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w:t>
            </w:r>
          </w:p>
        </w:tc>
      </w:tr>
    </w:tbl>
    <w:p>
      <w:pPr>
        <w:spacing w:before="0" w:after="0"/>
      </w:pPr>
    </w:p>
    <w:p>
      <w:r>
        <w:t xml:space="preserve">Ostvarenje u izvještajnom razdoblju u odnosu na ostvarenje u prethodnom razdoblju pokazuje značajno smanjenje prihoda od nadležnog proračuna za nabavu nefinancijske imovine. U prethodnom izvještajnom razdoblju izvedeni su radovi na rekonstrukciji i uređenju igrališta u MŠ Čaglin.</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66,7</w:t>
            </w:r>
          </w:p>
        </w:tc>
      </w:tr>
    </w:tbl>
    <w:p>
      <w:pPr>
        <w:spacing w:before="0" w:after="0"/>
      </w:pPr>
    </w:p>
    <w:p>
      <w:r>
        <w:t xml:space="preserve">Ostvarenje u izvještajnom razdoblju u odnosu na ostvarenje u prethodnom razdoblju pokazuje smanjenje prihoda koji se dobiju kroz natječaj „Kreativni i neovisni“.</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1.527.342,44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1.712.247,89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w:t>
            </w:r>
          </w:p>
        </w:tc>
      </w:tr>
    </w:tbl>
    <w:p>
      <w:pPr>
        <w:spacing w:before="0" w:after="0"/>
      </w:pPr>
    </w:p>
    <w:p>
      <w:r>
        <w:t xml:space="preserve">U razdoblju od 1.1.2025.-31.12.2025. godine Osnovna škola Stjepana Radića Čaglin  ostvarila je rashode poslovanja u iznosu od 1.712.247,89 EUR-a . Ostvarenje u izvještajnom razdoblju u odnosu na ostvarenje u prethodnom razdoblju pokazuje manje povećanje. Najveći utjecaj na povećanje rashoda poslovanja je iz razloga promjene načina knjiženja prema novom Pravilniku o proračunskom računovodstvu i Računskom planu prema kojem se ukida podskupina 193 na kojem su bila knjiženja vremenska razgraničenja na kojoj je knjižena  plaća, tako da je u ovom izvještajnom razdoblju knjiženo 12 plaća za zaposlene, za plaće zaposlenih  u vrtiću i pomoćnike u nastavi.</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934.373,71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1.129.525,62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120,9</w:t>
            </w:r>
          </w:p>
        </w:tc>
      </w:tr>
    </w:tbl>
    <w:p>
      <w:pPr>
        <w:spacing w:before="0" w:after="0"/>
      </w:pPr>
    </w:p>
    <w:p>
      <w:r>
        <w:t xml:space="preserve">U razdoblju od 1.1.2025.-31.12.2025. godine Osnovna škola Stjepana Radića Čaglin  ostvarila je rashode poslovanja u iznosu od 1.712.247,89 EUR-a . Ostvarenje u izvještajnom razdoblju u odnosu na ostvarenje u prethodnom razdoblju pokazuje manje povećanje. Najveći utjecaj na povećanje rashoda poslovanja je iz razloga promjene načina knjiženja prema novom Pravilniku o proračunskom računovodstvu i Računskom planu prema kojem se ukida podskupina 193 na kojem su bila knjiženja vremenska razgraničenja na kojoj je knjižena  plaća, tako da je u ovom izvještajnom razdoblju knjiženo 12 plaća za zaposlene, za plaće zaposlenih  u vrtiću i pomoćnike u nastavi.</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1.576,29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55,4</w:t>
            </w:r>
          </w:p>
        </w:tc>
      </w:tr>
    </w:tbl>
    <w:p>
      <w:pPr>
        <w:spacing w:before="0" w:after="0"/>
      </w:pPr>
    </w:p>
    <w:p>
      <w:r>
        <w:t xml:space="preserve">Ostvarenje u izvještajnom razdoblju  pokazuje značajno smanjenje rashoda za stručno usavršavanje djelatnika. Učitelji su u manjoj mjeri sudjelovali na stručnim kupovima za koje se plaćaju kotizacije.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20.188,55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13.568,08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67,2</w:t>
            </w:r>
          </w:p>
        </w:tc>
      </w:tr>
    </w:tbl>
    <w:p>
      <w:pPr>
        <w:spacing w:before="0" w:after="0"/>
      </w:pPr>
    </w:p>
    <w:p>
      <w:r>
        <w:t xml:space="preserve">Ostvarenje u izvještajnom razdoblju  pokazuje značajno smanjenje rashoda za uredski i ostale materijalne rashode. Smanjenje je nastalo zbog nabave materijala u sklopu CDŠ nastave za održavanje B1 aktivnosti koja je obavljena u prethodnom razdoblju.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26.832,30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36.445,48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135,8</w:t>
            </w:r>
          </w:p>
        </w:tc>
      </w:tr>
    </w:tbl>
    <w:p>
      <w:pPr>
        <w:spacing w:before="0" w:after="0"/>
      </w:pPr>
    </w:p>
    <w:p>
      <w:r>
        <w:t xml:space="preserve">Došlo je do značajnijeg porasta indeksa u tekućem razdoblju jer su se povećali rashodi za električnu energiju, te pelete i lož ulje uslijed povećanja cijena.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3.535,89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66,1</w:t>
            </w:r>
          </w:p>
        </w:tc>
      </w:tr>
    </w:tbl>
    <w:p>
      <w:pPr>
        <w:spacing w:before="0" w:after="0"/>
      </w:pPr>
    </w:p>
    <w:p>
      <w:r>
        <w:t xml:space="preserve"> Ostvarenje u izvještajnom razdoblju  pokazuje značajno smanjenje rashoda za materijal i tekuće i investicijsko održavanje iz razloga što je u prethodnom razdoblju više potrošeno na rashode za materijal i dijelove za održavanje građevinskog objekta uslijed radova na popravcima u školi.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9.614,54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276,8</w:t>
            </w:r>
          </w:p>
        </w:tc>
      </w:tr>
    </w:tbl>
    <w:p>
      <w:pPr>
        <w:spacing w:before="0" w:after="0"/>
      </w:pPr>
    </w:p>
    <w:p>
      <w:r>
        <w:t xml:space="preserve">Došlo je do značajnijeg porasta indeksa u odnosu na prethodnu godinu jer su nastali veći rashodi za nabavu sitnog inventara u sklopu CDŠ kojima se opremala Škola te unaprjeđivala nastava u sklopu B1 aktivnosti.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714,30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w:t>
            </w:r>
          </w:p>
        </w:tc>
      </w:tr>
    </w:tbl>
    <w:p>
      <w:pPr>
        <w:spacing w:before="0" w:after="0"/>
      </w:pPr>
    </w:p>
    <w:p>
      <w:r>
        <w:t xml:space="preserve">Ostvarenje u izvještajnom razdoblju pokazuje smanjenje rashoda za nabavu službene i radne odjeće iz razloga što se u prethodnom razdoblju nabavljala oprema za učitelja TZK, dok u izvještajnom razdoblju nije bilo te vrste rashoda.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22.026,26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373,2</w:t>
            </w:r>
          </w:p>
        </w:tc>
      </w:tr>
    </w:tbl>
    <w:p>
      <w:pPr>
        <w:spacing w:before="0" w:after="0"/>
      </w:pPr>
    </w:p>
    <w:p>
      <w:r>
        <w:t xml:space="preserve">Došlo je do značajnijeg porasta indeksa u odnosu na prethodnu godinu jer su nastali veći rashodi za prijevoz učenika na izlete. Navedeni rashodi su se u prethodnom razdoblju većinom knjižili na drugi konto.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64.989,13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27.161,42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w:t>
            </w:r>
          </w:p>
        </w:tc>
      </w:tr>
    </w:tbl>
    <w:p>
      <w:pPr>
        <w:spacing w:before="0" w:after="0"/>
      </w:pPr>
    </w:p>
    <w:p>
      <w:r>
        <w:t xml:space="preserve">Došlo je do značajnog smanjenja indeksa jer su u prethodnom razdoblju nastali rashodi za izvođenje završnih radova u sklopu CDŠ za radove u Matičnoj školi.</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523,64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w:t>
            </w:r>
          </w:p>
        </w:tc>
      </w:tr>
    </w:tbl>
    <w:p>
      <w:pPr>
        <w:spacing w:before="0" w:after="0"/>
      </w:pPr>
    </w:p>
    <w:p>
      <w:r>
        <w:t xml:space="preserve">Ostvarenje u izvještajnom razdoblju pokazuje smanjenje od 89% u odnosu na ostvarenje u prethodnoj godini. U izvještajnom razdoblju ostvaren je rashod samo za jedan autorski honorar. U prethodnom izvještajnom razdoblju ostavrene su isplate za ugovore o djelu kojih u izvještajnom razdoblju nije bilo. </w:t>
      </w:r>
    </w:p>
    <w:p>
      <w:r>
        <w:t xml:space="preserve">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129,9</w:t>
            </w:r>
          </w:p>
        </w:tc>
      </w:tr>
    </w:tbl>
    <w:p>
      <w:pPr>
        <w:spacing w:before="0" w:after="0"/>
      </w:pPr>
    </w:p>
    <w:p>
      <w:r>
        <w:t xml:space="preserve">Došlo je do povećanja indeksa  zbog Ostalih računalnih usluga – Izrade nove web stranice Škole.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57.306,14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76.196,47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133,0</w:t>
            </w:r>
          </w:p>
        </w:tc>
      </w:tr>
    </w:tbl>
    <w:p>
      <w:pPr>
        <w:spacing w:before="0" w:after="0"/>
      </w:pPr>
    </w:p>
    <w:p>
      <w:r>
        <w:t xml:space="preserve">Došlo je do značajnijeg povećanja indeksa  zbog povećanja rashoda za isplatu udrugama u sklopu CDŠ B2 aktivnosti te održanog seminara za učitelje.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Nema indeksa jer je u izvještajnom razdoblju nastao rashod za premiju osiguranja službenog školskog vozila - kombija.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180,1</w:t>
            </w:r>
          </w:p>
        </w:tc>
      </w:tr>
    </w:tbl>
    <w:p>
      <w:pPr>
        <w:spacing w:before="0" w:after="0"/>
      </w:pPr>
    </w:p>
    <w:p>
      <w:r>
        <w:t xml:space="preserve">U izvještajnom razdoblju u odnosu na prethodno razdoblje dolazi do povećanja indeksa zbog kupovine poklona za ugošćavanje gostiju u školi.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34.696,35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w:t>
            </w:r>
          </w:p>
        </w:tc>
      </w:tr>
    </w:tbl>
    <w:p>
      <w:pPr>
        <w:spacing w:before="0" w:after="0"/>
      </w:pPr>
    </w:p>
    <w:p>
      <w:r>
        <w:t xml:space="preserve">Ostvarenje u izvještajnom razdoblju pokazuje značajno smanjenje u odnosu na ostvarenje u prethodnoj godini. Do najznačajnijeg smanjenja dolazi iz razloga jer su u prethodnom izvještajnom razdoblju usluge prijevoza učenika na razne izlete, ulaznice i edukacije u sklopu CDŠ B1 aktivnosti knjižene na taj konto. U tekućem izvještajnom razdoblju nije ni bilo toliko izleta, edukacija, ulaznica i sličnih rashoda u sklopu CDŠ  B1.</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33.408,67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27.459,62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82,2</w:t>
            </w:r>
          </w:p>
        </w:tc>
      </w:tr>
    </w:tbl>
    <w:p>
      <w:pPr>
        <w:spacing w:before="0" w:after="0"/>
      </w:pPr>
    </w:p>
    <w:p>
      <w:r>
        <w:t xml:space="preserve">Ostvarenje u izvještajnom razdoblju u odnosu na ostvarenje u prethodnom razdoblju ukazje na smanjenje rashoda za nabavu radnih udžbenika za učenike škole.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211.762,39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U tekućem razdoblju u odnosu na prethodno razdoblje dolazi do značajnog povećanja indeksa jer se od 1. siječnja 2025. knjigovodstvene evidencije u poslovnim knjigama provode sukladno odredbama novog Pravilnika o proračunskom računovodstvu i računskom planu te su shodno tome uvedena nova knjiženja na šifri 96. Prema novom Pravilniku o računovodstvu, svaki prihod koji se priznaje (osim prihoda od osnivača na 671 i 639 te prihoda od donacija na 663) mora prethodno imati evidentirano potraživanje i obračunate prihode na 96. </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i pruženih usluga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Ostvarenje u tekućem razdoblju ne pokazuje indeks jer u tekućem razdoblju nije naplaćen prihod za prodaju starog papira za koji je izdan račun na kraju izvještajne 2025. godine.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315.889,84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83.273,11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w:t>
            </w:r>
          </w:p>
        </w:tc>
      </w:tr>
    </w:tbl>
    <w:p>
      <w:pPr>
        <w:spacing w:before="0" w:after="0"/>
      </w:pPr>
    </w:p>
    <w:p>
      <w:r>
        <w:t xml:space="preserve">Ostvarenje u izvještajnom razdoblju pokazuje značajno smanjenje od 73,6% u odnosu na prethodnu godinu. U prethodnom izvještajnom razdoblju bilo je puno više nabave nefinancijske imovine u sklopu CDŠ.</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20.997,99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w:t>
            </w:r>
          </w:p>
        </w:tc>
      </w:tr>
    </w:tbl>
    <w:p>
      <w:pPr>
        <w:spacing w:before="0" w:after="0"/>
      </w:pPr>
    </w:p>
    <w:p>
      <w:r>
        <w:t xml:space="preserve">U tekućem razdoblju u odnosu na prethodno razdoblje dolazi do značajnog smanjenja indeksa iz razloga što je u prethodnoj godini rađeno postavljanje centralnog grijanja u PŠ Ljeskovica.</w:t>
      </w:r>
    </w:p>
    <w:p>
      <w:r>
        <w:t xml:space="preserve"> </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 pokazuje indeks jer je u izvještajnom razdoblju nabavljena nova oprema za TZK – ergometar te sjedeći bicikl na magnetni otpor.</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99.606,18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56.715,84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56,9</w:t>
            </w:r>
          </w:p>
        </w:tc>
      </w:tr>
    </w:tbl>
    <w:p>
      <w:pPr>
        <w:spacing w:before="0" w:after="0"/>
      </w:pPr>
    </w:p>
    <w:p>
      <w:r>
        <w:t xml:space="preserve">Ostvarenje u izvještajnom razdoblju pokazuje značajno smanjenje u odnosu na prethodnu godinu jer je u izvještajnom razdoblju bilo manje nabave uređaja i opreme u sklopu CDŠ.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43.749,19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Ne pokazuje indeks jer je u prethodnom izvještajnom razdoblju nabavljen školski kombi.</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14.676,25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7.289,59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w:t>
            </w:r>
          </w:p>
        </w:tc>
      </w:tr>
    </w:tbl>
    <w:p>
      <w:pPr>
        <w:spacing w:before="0" w:after="0"/>
      </w:pPr>
    </w:p>
    <w:p>
      <w:r>
        <w:t xml:space="preserve">Ostvarenje u izvještajnom razdoblju pokazuje smanjenje u odnosu na ostvarenje u prethodnom razdoblju jer je u izvještajnom razdoblju nabavljeno manje trajnih udžbenika za nastavu. </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125.903,07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Nema indeksa  iz razloga što u tekućem izvještajnom razdoblju nije bilo ulaganja na građevinskim objektima. U prethodnom razdoblju rađeno je igralište u matičnoj školi. </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122.349,88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razdoblju od 1. siječnja do 31. prosinca 2025. godine ostvaren je ukupan manjak prihoda u iznosu od 178.191,77 EUR.  Preneseni višak iz prethodnog razdoblja iznosi 55.841,89 EUR te je slijedom toga ostvaren  rezultat – manjak prihoda i primitaka za pokriće u sljedećem razdoblju u iznosu 122.349,88 EUR. Do manjka najvećim dijelom dolazi zbog knjiženja plaća redovnih djelatnika, plaće u vrtiću, plaće pomoćnika u nastavi za rujan kao rashod poslovanja za koji nema evidentiranog prihoda, a koje se dosad knjižilo na rashode budućih razdoblja.  Također, rashodi za prehranu učenika knjiženi su kao rashod, a prihod još nije pristigao. Škola je ostvarila značajnije manje prihoda iz Državnog proračuna u sklopu CDŠ. Planirano je da će ostatak prihoda biti uplaćen u veljači 2026. godine te prihodi od nadležnog proračuna za nepodmirene račune za rashode poslovanja u sklopu funkcija koje se decentraliziraju. </w:t>
      </w:r>
    </w:p>
    <w:p>
      <w:r>
        <w:t xml:space="preserve"> </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98.241,37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Ostvarenje u izvještajnom razdoblju prethodne godine ne pokazuje indeks u odnosu na ostvarenje u tekućoj godini. Razlog je ukidanje skupine 193 prema novom Pravilniku o proračunskom računovodstvu i Računskom planu koji se primjenjuje u  knjigovodstvenim evidencijama od 1. siječnja 2025. godine.</w:t>
      </w:r>
    </w:p>
    <w:p>
      <w:r>
        <w:t xml:space="preserve">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državnog proračuna proračunskim korisnicima proračuna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13.733,57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47.334,06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344,7</w:t>
            </w:r>
          </w:p>
        </w:tc>
      </w:tr>
    </w:tbl>
    <w:p>
      <w:pPr>
        <w:spacing w:before="0" w:after="0"/>
      </w:pPr>
    </w:p>
    <w:p>
      <w:r>
        <w:t xml:space="preserve">Ostvarenje u tekućem razdoblju u odnosu na prethodno razdoblje pokazuje značajno povećanje indeksa iz razloga što je u tekućem razdoblju knjiženo više uplata kapitalnih pomoći u sklopu CDŠ. Prvotna uplata iz Državnog proračuna koja je knjižena na konto 63612 preknjižena je na konto 63622002 Kapitalne pomoći u iznosu koji je ostvaren za nabavu nefinancijske imovine u sklopu CDŠ.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JLP(R)S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Ostvarenje u tekućem razdoblju u odnosu na prethodno razdoblje ne pokazuje indeks jer je u izvještajnom razdoblju ostvaren prihod od Općine za kupovinu perilice za školsku kuhinju. </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2.778,40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Ostvarenje u izvještajnom razdoblju prethodne godine ne pokazuje indeks u odnosu na ostvarenje u tekućoj godini iz razloga što je u tekućem razdoblju ostvarena uplata po završnom izvješću za Erasmus.</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s naslova osiguranja, refundacije štete i totalne štete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Ostvarenje u tekućem razdoblju u odnosu na prethodno razdoblje ne pokazuje indeks jer je u tekućem razdoblju ostvaren prihod po osnovi osiguranja - plaćanje odštete za školski kombi.</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211.670,39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Prema čl.160 novog Pravilnika o proračunskom računovodstvu školska ustanova koja temeljem primljenog rješenja, odluke ili dopisa od drugog subjekta (ali ne istog proračuna) prima pomoć, tu pomoć treba evidentirati na skupini 163 Potraživanja za pomoći od subjekata unutar općeg proračuna i na skupini 963 Obračunate pomoći od subjekata unutar općeg proračuna. Škola je tokom izvještajnog razdoblja na taj način evidentirala sve primljene pomoći. </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211.670,39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za CDŠ (B1 i B2 aktivnosti) u iznosu 100.000,00 EUR</w:t>
      </w:r>
    </w:p>
    <w:p>
      <w:r>
        <w:t xml:space="preserve">Potraživanja za plaću 12/2025 COP u iznosu 99.948,24 EUR</w:t>
      </w:r>
    </w:p>
    <w:p>
      <w:r>
        <w:t xml:space="preserve">Potraživanja za PDS-nabave dijagnostičkih instrumenata u iznosu 215,86 EUR</w:t>
      </w:r>
    </w:p>
    <w:p>
      <w:r>
        <w:t xml:space="preserve">Potraživanja za prehranu učenika 12/2025 u iznosu 4.216,00 EUR</w:t>
      </w:r>
    </w:p>
    <w:p>
      <w:r>
        <w:t xml:space="preserve">Potraživanja za plaću 12/2025 VRTIĆ u iznosu 7.290,29 EUR</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98.241,37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Ostvarenje u izvještajnom razdoblju prethodne godine ne pokazuje indeks u odnosu na ostvarenje u tekućoj godini. Razlog je ukidanje skupine 193 prema novom Pravilniku o proračunskom računovodstvu i Računskom planu koji se primjenjuje u  knjigovodstvenim evidencijama od 1. siječnja 2025. godine. Plaće za mjesec prosinac 2024. godine knjižene su na skupinu 193 Kontinuirani rashodi budućeg razdoblja te su temeljnicom u 2025. godini stornirani te preneseni na skupinu 31. </w:t>
      </w:r>
    </w:p>
    <w:p>
      <w:r>
        <w:t xml:space="preserve"> </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9.772,70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13.764,72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140,8</w:t>
            </w:r>
          </w:p>
        </w:tc>
      </w:tr>
    </w:tbl>
    <w:p>
      <w:pPr>
        <w:spacing w:before="0" w:after="0"/>
      </w:pPr>
    </w:p>
    <w:p>
      <w:r>
        <w:t xml:space="preserve">U novom Pravilniku otvorena je novaskupina računa 27 Obveze za predujmove, depozite, jamčevne pologe i tuđe prihode s ciljem da se iz odjeljka 2395 Ostale nespomenute obveze izdvoje računi obveza koji nemaju direktnu povezanost s računima rashodi u razredu 3 i 4. Prilikom prijenosa početnog stanja sa 1.1.2025. godine stanja sa skupine 239 prenešena su na nove račune skupine 27. </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55.841,89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-122.349,88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-219,1</w:t>
            </w:r>
          </w:p>
        </w:tc>
      </w:tr>
    </w:tbl>
    <w:p>
      <w:pPr>
        <w:spacing w:before="0" w:after="0"/>
      </w:pPr>
    </w:p>
    <w:p>
      <w:r>
        <w:t xml:space="preserve">Ukupni prihodi poslovanja iznose 1.617.329,23 EUR-a</w:t>
      </w:r>
    </w:p>
    <w:p>
      <w:r>
        <w:t xml:space="preserve">Ukupni rashodi poslovanja iznose 1.712.247,89 EUR-a</w:t>
      </w:r>
    </w:p>
    <w:p>
      <w:r>
        <w:t xml:space="preserve">Rezultat poslovanja je manjak u iznosu od 122.349,88 EUR-a</w:t>
      </w:r>
    </w:p>
    <w:p>
      <w:r>
        <w:t xml:space="preserve">Preneseni rezultat poslovanja je višak u iznosu 55.841,89 EUR-a</w:t>
      </w:r>
    </w:p>
    <w:p>
      <w:r>
        <w:t xml:space="preserve"> </w:t>
      </w:r>
    </w:p>
    <w:p>
      <w:r>
        <w:t xml:space="preserve">Izvršena je obvezna korekcija rezultata 2025. godine za iznose kapitalnih pomoći 6362 i 6712 u iznosu</w:t>
      </w:r>
    </w:p>
    <w:p>
      <w:r>
        <w:t xml:space="preserve">59.187,34 EUR-a.</w:t>
      </w:r>
    </w:p>
    <w:p>
      <w:r>
        <w:t xml:space="preserve">Izvršeno je prebijanje viška (prenesenog) sa utvrđenim manjkom ove godine po istovrsnim kategorijama.</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211.762,39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Prema čl.160 novog Pravilnika o proračunskom računovodstvu školska ustanova koja temeljem primljenog rješenja, odluke ili dopisa od drugog subjekta (ali ne istog proračuna) prima pomoć, tu pomoć treba evidentirati na skupini 163 Potraživanja za pomoći od subjekata unutar općeg proračuna i na skupini 963 Obračunate pomoći od subjekata unutar općeg proračuna. Škola je tokom izvještajnog razdoblja na taj način evidentirala sve primljene pomoći. </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9.262,06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13.764,72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148,6</w:t>
            </w:r>
          </w:p>
        </w:tc>
      </w:tr>
    </w:tbl>
    <w:p>
      <w:pPr>
        <w:spacing w:before="0" w:after="0"/>
      </w:pPr>
    </w:p>
    <w:p>
      <w:r>
        <w:t xml:space="preserve">Novim Pravilnkom uveden je novi osnovni račun 27612 Obveze proračunskih korisnika za povrat u proračun - bolovanje HZZO. Stanje 31.12.2024. godine sa konta 23958 Obveze proračunskih korisnika za povrat u proračun koji se odnosi na bolovanje prema HZZO-u prenijeto je na početno stanje konta 27612. </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Tuđa imovina dobivena na korištenje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1.585.716,69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1.206.858,27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76,1</w:t>
            </w:r>
          </w:p>
        </w:tc>
      </w:tr>
    </w:tbl>
    <w:p>
      <w:pPr>
        <w:spacing w:before="0" w:after="0"/>
      </w:pPr>
    </w:p>
    <w:p>
      <w:r>
        <w:t xml:space="preserve">Člankom 216. novog Pravilnika o proračunskom računovodstvu, uvedena je obveza evidentiranja ispravka vrijednosti za tuđu imovinu dobivenu na korištenje koja se vodi na izvanbilančnom zapisu 99111 i 99611. Za unos ispravka vrijednosti tuđe imovine dobivene na korištenje propisan je račun 99119. Podatak o ispravku vrijednosti Škola je dobila od Općine Čaglin.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1.793.223,53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1.749.121,72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w:t>
            </w:r>
          </w:p>
        </w:tc>
      </w:tr>
    </w:tbl>
    <w:p>
      <w:pPr>
        <w:spacing w:before="0" w:after="0"/>
      </w:pPr>
    </w:p>
    <w:p>
      <w:r>
        <w:t xml:space="preserve">Osnovne škole rashode povezane uz obrazovanje prikazuju na funkciji 0912 Osnovno obrazovanje, dok se troškovi prehrane djece iskazuju u okviru funkcije 096 Dodatne usluge u obrazovanju. </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46.399,28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w:t>
            </w:r>
          </w:p>
        </w:tc>
      </w:tr>
    </w:tbl>
    <w:p>
      <w:pPr>
        <w:spacing w:before="0" w:after="0"/>
      </w:pPr>
    </w:p>
    <w:p>
      <w:r>
        <w:t xml:space="preserve">Troškovi prehrane djece iskazuju se u okviru funkcije 096 Dodatne usluge u obrazovanju.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118.651,84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Prema novom Pravilniku o računovodstvu ispravak vrijednosti dugotrajne nefinancijske imovine provodi se preko promjena u vrijednosti imovine, preko osnovnog računa 91511 te je slijedom navedenoga knjižen ispravak vrijednosti dugotrajne nefinancijske imovine preko navedenog konta.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4.158,48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predstavlja obveze za predujmove na koje su  knjižene uplate za smještaj i kotizaciju za stručne skupove te nabava raznog materijala za školu  prema predračunu/poundi koje su potom zatvorene dobivanjem e-Računa za obavljenu uslugu. </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137.524,76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Ukupan iznos obveza na kraju izvještajnog razdoblja koje na dan 31. prosinca 2025. nisu podmirene, odnosno plaćene. </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Škola nema dospjelih obveza u navedenom razdoblju poslovanja. </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13.764,72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V010 Međusobne obveze subjekata općeg proračuna u iznosu 13.764,72 EUR odnose se na obveze za povrat u proračun sredstava koje refundira HZZO (naknada za bolovanje iznad 42 dana i bolovanje za ozljedu na radu). </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123.760,04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ND 23 Obveze za rashode poslovanja (skupina 23) u iznosu 123.760,04 EUR koje se odnose na: </w:t>
      </w:r>
    </w:p>
    <w:p>
      <w:r>
        <w:t xml:space="preserve"> • 231 Obveze za zaposlene u ukupnom iznosu 104.781,20 EUR </w:t>
      </w:r>
    </w:p>
    <w:p>
      <w:r>
        <w:t xml:space="preserve">1. Plaća za zaposlenike (COP) za prosinac 2025. godine u iznosu 93.570,89 EUR, plaća je isplaćena 9. siječnja 2026. godine . </w:t>
      </w:r>
    </w:p>
    <w:p>
      <w:r>
        <w:t xml:space="preserve">2. Materijalna prava za zaposlenike (COP) 2025. godine u iznosu 1.631,34 EUR, mat. prava isplaćena su 27. siječnja 2026. godine.</w:t>
      </w:r>
    </w:p>
    <w:p>
      <w:r>
        <w:t xml:space="preserve">3. Plaća za pomoćnike u nastavi za prosinac 2025. godine u iznosu 2.411,56 EUR, plaća je isplaćena 13. siječnja 2026. godine.</w:t>
      </w:r>
    </w:p>
    <w:p>
      <w:r>
        <w:t xml:space="preserve">4.  Plaća za vrtić za prosinac 2025. godine u iznosu 7.167,41 EUR, plaća je isplaćena 12. siječnja 2026. godine</w:t>
      </w:r>
    </w:p>
    <w:p>
      <w:r>
        <w:t xml:space="preserve"> • 232 Obveze za materijalne rashode u ukupnom iznosu od 18.978,84 EUR  koje se odnose na:  </w:t>
      </w:r>
    </w:p>
    <w:p>
      <w:r>
        <w:t xml:space="preserve">1. Naknada prijevoza za zaposlenike za prosinac 2025. godine u iznosu 4.875,53 EUR, isplaćen 9. siječnja 2026. godine</w:t>
      </w:r>
    </w:p>
    <w:p>
      <w:r>
        <w:t xml:space="preserve">2. Naknada prijevoza za vrtić za mjesec prosinac 2025. godine u iznosu 122,88 EUR isplaćen 12. siječnja 2026. godine</w:t>
      </w:r>
    </w:p>
    <w:p>
      <w:r>
        <w:t xml:space="preserve">3. Naknada prijevoza za pomoćnike u nastavi za mjesec prosinac 2025. godine u iznosu 28,33 EUR isplaćen 13. siječnja 2026. godine</w:t>
      </w:r>
    </w:p>
    <w:p>
      <w:r>
        <w:t xml:space="preserve">4. Naknada zbog nezapošljavanja invalida za prosinac 2025. godine u iznosu 194,00 EUR isplaćena 9. siječnja 2026. godine</w:t>
      </w:r>
    </w:p>
    <w:p>
      <w:r>
        <w:t xml:space="preserve">5. Ostale materijalne rashode (po dobavljaču - datum dospijeća i iznos):</w:t>
      </w:r>
    </w:p>
    <w:p>
      <w:r>
        <w:t xml:space="preserve">SLAVONIJAPAPIR D.O.O. 30.01.2026. 98,28 EUR</w:t>
      </w:r>
    </w:p>
    <w:p>
      <w:r>
        <w:t xml:space="preserve">HEP OPSKRBA D.O.O. ZAGREB 09.02.2026 818,92 EUR</w:t>
      </w:r>
    </w:p>
    <w:p>
      <w:r>
        <w:t xml:space="preserve">INA - INDUSTRIJA NAFTE D.D. 15.01.2026 250,59</w:t>
      </w:r>
    </w:p>
    <w:p>
      <w:r>
        <w:t xml:space="preserve">KUTJEVO D.D. 14.01.2026 8.604,23</w:t>
      </w:r>
    </w:p>
    <w:p>
      <w:r>
        <w:t xml:space="preserve">A1 HRVATSKA D.O.O. 15.01.2026 73,70</w:t>
      </w:r>
    </w:p>
    <w:p>
      <w:r>
        <w:t xml:space="preserve">HT- HRVATSKE TELEKOMUNIKACIJE 19.01.2026 187,06</w:t>
      </w:r>
    </w:p>
    <w:p>
      <w:r>
        <w:t xml:space="preserve">HP-HRVATSKA POŠTA D.D. 18.01.2026 84,77</w:t>
      </w:r>
    </w:p>
    <w:p>
      <w:r>
        <w:t xml:space="preserve">BIG DADDY 14.01.2026 375,00</w:t>
      </w:r>
    </w:p>
    <w:p>
      <w:r>
        <w:t xml:space="preserve">TEKIJA D.O.O. 30.01.2026 7,32</w:t>
      </w:r>
    </w:p>
    <w:p>
      <w:r>
        <w:t xml:space="preserve">TEKIJA D.O.O. 30.01.2026 62,64</w:t>
      </w:r>
    </w:p>
    <w:p>
      <w:r>
        <w:t xml:space="preserve">TEKIJA D.O.O. 30.01.2026 7,31</w:t>
      </w:r>
    </w:p>
    <w:p>
      <w:r>
        <w:t xml:space="preserve">TEKIJA D.O.O. 30.01.2026 9,39</w:t>
      </w:r>
    </w:p>
    <w:p>
      <w:r>
        <w:t xml:space="preserve">KOMUNALAC POŽEGA D.O.O. 20.01.2026 125,69</w:t>
      </w:r>
    </w:p>
    <w:p>
      <w:r>
        <w:t xml:space="preserve">KOMUNALAC POŽEGA D.O.O. 20.01.2026 17,68</w:t>
      </w:r>
    </w:p>
    <w:p>
      <w:r>
        <w:t xml:space="preserve">KOMUNALAC POŽEGA D.O.O. 20.01.2026 17,68</w:t>
      </w:r>
    </w:p>
    <w:p>
      <w:r>
        <w:t xml:space="preserve">KOMUNALAC POŽEGA D.O.O. 20.01.2026 15,68</w:t>
      </w:r>
    </w:p>
    <w:p>
      <w:r>
        <w:t xml:space="preserve">FINANCIJSKA AGENCIJA 02.02.2026 1,66</w:t>
      </w:r>
    </w:p>
    <w:p>
      <w:r>
        <w:t xml:space="preserve">PROJEKT.URED 30.01.2026 3.000,00</w:t>
      </w:r>
    </w:p>
    <w:p>
      <w:r>
        <w:t xml:space="preserve"> </w:t>
      </w:r>
    </w:p>
    <w:p/>
    <w:p>
      <w:pPr>
        <w:jc w:val="center"/>
        <w:pStyle w:val="Normal"/>
        <w:spacing w:line="240" w:lineRule="auto"/>
        <w:keepNext/>
      </w:pPr>
      <w:r>
        <w:rPr>
          <w:sz w:val="28"/>
          <w:rFonts w:ascii="Times New Roman" w:hAnsi="Times New Roman"/>
        </w:rPr>
        <w:t xml:space="preserve">Bilješka 60.</w:t>
      </w:r>
    </w:p>
    <w:p>
      <w:pPr>
        <w:jc w:val="both"/>
        <w:pStyle w:val="Normal"/>
        <w:spacing w:line="240" w:lineRule="auto"/>
      </w:pPr>
      <w:r>
        <w:rPr>
          <w:b/>
          <w:sz w:val="24"/>
          <w:rFonts w:ascii="Times New Roman" w:hAnsi="Times New Roman"/>
        </w:rPr>
        <w:t xml:space="preserve">EU izvještaj</w:t>
      </w:r>
    </w:p>
    <w:p>
      <w:r>
        <w:t xml:space="preserve">U obrazac EU unesen je projekt Obrazujmo se zajedno VIII</w:t>
      </w:r>
    </w:p>
    <w:p>
      <w:r>
        <w:t xml:space="preserve">Rashodi sa izvora 56 (3111 Plaće za redovan rad te 3132 Doprinosi za obvezno zdravstveno osiguranje) u iznosu od 85% uneseni su u EU izvještaj na list - 561 Europski socijalni fond plus.</w:t>
      </w:r>
    </w:p>
    <w:p>
      <w:r>
        <w:t xml:space="preserve">Rashodi sa izvora 56 (3111 Plaće za redovan rad te 3132 Doprinosi za obvezno zdravstveno osiguranje) u iznosu od 15% uneseni su u EU izvještaj na list - Nacionalno sufinanciranje.</w:t>
      </w:r>
    </w:p>
    <w:p>
      <w:r>
        <w:t xml:space="preserve"> </w:t>
      </w:r>
    </w:p>
    <w:p>
      <w:r>
        <w:t xml:space="preserve">Prihodi sa konta 63931, a odnose se na projekt Obrazujmo se zajedno VIII, podijeljeni su u  iznosu 85% i 15%.  </w:t>
      </w:r>
    </w:p>
    <w:p>
      <w:r>
        <w:t xml:space="preserve">85% prihoda uneseno je u EU izvještaju na list - 561 Europski socijalni fond plus na konto 6393 - Tekući prijenosi između proračunskih korisnika istog proračuna temeljem prijenosa EU sredstava.</w:t>
      </w:r>
    </w:p>
    <w:p>
      <w:r>
        <w:t xml:space="preserve">15% prihoda uneseno je u EU izvještaj na list -  Nacionalno sufinanciranje na konto 6393 - Tekući prijenosi između proračunskih korisnika istog proračuna temeljem prijenosa EU sredstava.</w:t>
      </w:r>
    </w:p>
    <w:p>
      <w:r>
        <w:t xml:space="preserve">U EU obrazac na list 510 Programi Unije unesen je prihod dobiven u 2025. godini po završnom izvješću projekta ERASMUS te rashod za djelatnike koji su sudjelovali u Erasmus projektu. </w:t>
      </w:r>
    </w:p>
    <w:p>
      <w:r>
        <w:t xml:space="preserve">U izvještajnom razdoblju knjiženi su obračunati prihodi poslovanja te iskazani u oba stupca podataka. </w:t>
      </w:r>
    </w:p>
    <w:p>
      <w:r>
        <w:t xml:space="preserve"> </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6cc84aabd1ac4500" /></Relationships>
</file>