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20" w:rsidRPr="003D6856" w:rsidRDefault="004C0FB6" w:rsidP="00B34518">
      <w:pPr>
        <w:pStyle w:val="Bezproreda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NAZIV OBVEZNIKA: </w:t>
      </w:r>
      <w:r w:rsidR="003D6856" w:rsidRPr="003D6856">
        <w:rPr>
          <w:b/>
          <w:sz w:val="24"/>
          <w:szCs w:val="24"/>
        </w:rPr>
        <w:t>OSNOVNA ŠKOLA STJEPANA RADIĆA ČAGLIN</w:t>
      </w:r>
    </w:p>
    <w:p w:rsidR="003D6856" w:rsidRPr="003D6856" w:rsidRDefault="004C0FB6" w:rsidP="00B34518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ADRESA: </w:t>
      </w:r>
      <w:r w:rsidR="003D6856" w:rsidRPr="003D6856">
        <w:rPr>
          <w:b/>
          <w:sz w:val="24"/>
          <w:szCs w:val="24"/>
        </w:rPr>
        <w:t>Vladimira Nazora 3</w:t>
      </w:r>
      <w:r>
        <w:rPr>
          <w:b/>
          <w:sz w:val="24"/>
          <w:szCs w:val="24"/>
        </w:rPr>
        <w:t xml:space="preserve">, </w:t>
      </w:r>
      <w:r w:rsidR="003D6856" w:rsidRPr="003D6856">
        <w:rPr>
          <w:b/>
          <w:sz w:val="24"/>
          <w:szCs w:val="24"/>
        </w:rPr>
        <w:t>34350 Čaglin</w:t>
      </w:r>
    </w:p>
    <w:p w:rsidR="003D6856" w:rsidRPr="003D6856" w:rsidRDefault="003D6856" w:rsidP="00B34518">
      <w:pPr>
        <w:pStyle w:val="Bezproreda"/>
        <w:jc w:val="both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OIB: 18173968246</w:t>
      </w:r>
    </w:p>
    <w:p w:rsidR="003D6856" w:rsidRPr="003D6856" w:rsidRDefault="003D6856" w:rsidP="00B34518">
      <w:pPr>
        <w:pStyle w:val="Bezproreda"/>
        <w:jc w:val="both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RKP: 9675</w:t>
      </w:r>
    </w:p>
    <w:p w:rsidR="003D6856" w:rsidRPr="003D6856" w:rsidRDefault="003D6856" w:rsidP="00B34518">
      <w:pPr>
        <w:pStyle w:val="Bezproreda"/>
        <w:jc w:val="both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MB: 03310094</w:t>
      </w:r>
    </w:p>
    <w:p w:rsidR="003D6856" w:rsidRPr="003D6856" w:rsidRDefault="003D6856" w:rsidP="00B34518">
      <w:pPr>
        <w:pStyle w:val="Bezproreda"/>
        <w:jc w:val="both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:rsidR="003D6856" w:rsidRPr="003D6856" w:rsidRDefault="003D6856" w:rsidP="00B34518">
      <w:pPr>
        <w:pStyle w:val="Bezproreda"/>
        <w:jc w:val="both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Razdjel: 000</w:t>
      </w:r>
    </w:p>
    <w:p w:rsidR="003D6856" w:rsidRPr="003D6856" w:rsidRDefault="003D6856" w:rsidP="00B34518">
      <w:pPr>
        <w:pStyle w:val="Bezproreda"/>
        <w:jc w:val="both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djelatnosti: 8520 (Osnovno obrazovanje)</w:t>
      </w:r>
    </w:p>
    <w:p w:rsidR="003D6856" w:rsidRDefault="003D6856" w:rsidP="00B34518">
      <w:pPr>
        <w:pStyle w:val="Bezproreda"/>
        <w:jc w:val="both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općine: 58 (Županija: Požeško-slavonska, Općina: Čaglin)</w:t>
      </w:r>
    </w:p>
    <w:p w:rsidR="00242683" w:rsidRPr="003D6856" w:rsidRDefault="005B52C3" w:rsidP="00B34518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OZNAKA RAZDOBLJA: 20</w:t>
      </w:r>
      <w:r w:rsidR="00320D7C">
        <w:rPr>
          <w:b/>
          <w:sz w:val="24"/>
          <w:szCs w:val="24"/>
        </w:rPr>
        <w:t>2</w:t>
      </w:r>
      <w:r w:rsidR="00C95072">
        <w:rPr>
          <w:b/>
          <w:sz w:val="24"/>
          <w:szCs w:val="24"/>
        </w:rPr>
        <w:t>1</w:t>
      </w:r>
      <w:r w:rsidR="00320D7C">
        <w:rPr>
          <w:b/>
          <w:sz w:val="24"/>
          <w:szCs w:val="24"/>
        </w:rPr>
        <w:t>-6</w:t>
      </w:r>
    </w:p>
    <w:p w:rsidR="003D6856" w:rsidRPr="003D6856" w:rsidRDefault="003D6856" w:rsidP="00B34518">
      <w:pPr>
        <w:pStyle w:val="Bezproreda"/>
        <w:jc w:val="both"/>
        <w:rPr>
          <w:b/>
          <w:sz w:val="24"/>
          <w:szCs w:val="24"/>
        </w:rPr>
      </w:pPr>
    </w:p>
    <w:p w:rsidR="003D6856" w:rsidRPr="00C54410" w:rsidRDefault="004C0FB6" w:rsidP="00B34518">
      <w:pPr>
        <w:pStyle w:val="Bezproreda"/>
        <w:jc w:val="both"/>
        <w:rPr>
          <w:b/>
          <w:sz w:val="24"/>
          <w:szCs w:val="24"/>
        </w:rPr>
      </w:pPr>
      <w:r w:rsidRPr="00C54410">
        <w:rPr>
          <w:b/>
          <w:sz w:val="24"/>
          <w:szCs w:val="24"/>
        </w:rPr>
        <w:t>BILJEŠKE UZ FINANCIJSKE IZVJEŠTAJE</w:t>
      </w:r>
      <w:r w:rsidR="003D6856" w:rsidRPr="00C54410">
        <w:rPr>
          <w:b/>
          <w:sz w:val="24"/>
          <w:szCs w:val="24"/>
        </w:rPr>
        <w:t xml:space="preserve"> ZA RAZDOBLJE</w:t>
      </w:r>
    </w:p>
    <w:p w:rsidR="003D6856" w:rsidRPr="00C54410" w:rsidRDefault="005B52C3" w:rsidP="00B34518">
      <w:pPr>
        <w:pStyle w:val="Bezprored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54410">
        <w:rPr>
          <w:b/>
          <w:sz w:val="24"/>
          <w:szCs w:val="24"/>
        </w:rPr>
        <w:t xml:space="preserve">SIJEČANJ – </w:t>
      </w:r>
      <w:r w:rsidR="00C54410" w:rsidRPr="00C54410">
        <w:rPr>
          <w:b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3</w:t>
      </w:r>
      <w:r w:rsidR="00320D7C">
        <w:rPr>
          <w:b/>
          <w:sz w:val="24"/>
          <w:szCs w:val="24"/>
        </w:rPr>
        <w:t>0. LIPANJ 202</w:t>
      </w:r>
      <w:r w:rsidR="004A0E0F">
        <w:rPr>
          <w:b/>
          <w:sz w:val="24"/>
          <w:szCs w:val="24"/>
        </w:rPr>
        <w:t>1.</w:t>
      </w:r>
      <w:r w:rsidRPr="00C54410">
        <w:rPr>
          <w:b/>
          <w:sz w:val="24"/>
          <w:szCs w:val="24"/>
        </w:rPr>
        <w:t>.</w:t>
      </w:r>
      <w:r w:rsidR="003D6856" w:rsidRPr="00C54410">
        <w:rPr>
          <w:b/>
          <w:sz w:val="24"/>
          <w:szCs w:val="24"/>
        </w:rPr>
        <w:t xml:space="preserve"> GODINE</w:t>
      </w:r>
    </w:p>
    <w:p w:rsidR="002E0491" w:rsidRPr="00C54410" w:rsidRDefault="002E0491" w:rsidP="00B34518">
      <w:pPr>
        <w:pStyle w:val="Bezproreda"/>
        <w:jc w:val="both"/>
        <w:rPr>
          <w:b/>
          <w:sz w:val="24"/>
          <w:szCs w:val="24"/>
        </w:rPr>
      </w:pPr>
    </w:p>
    <w:p w:rsidR="002E0491" w:rsidRDefault="002E0491" w:rsidP="00B3451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</w:p>
    <w:p w:rsidR="00083337" w:rsidRPr="00812637" w:rsidRDefault="002E0491" w:rsidP="00B34518">
      <w:pPr>
        <w:pStyle w:val="Bezproreda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Osnovna djelatnos</w:t>
      </w:r>
      <w:r w:rsidR="00812637">
        <w:rPr>
          <w:sz w:val="24"/>
          <w:szCs w:val="24"/>
        </w:rPr>
        <w:t xml:space="preserve">t Škole je osnovno obrazovanje </w:t>
      </w:r>
      <w:r w:rsidR="00812637" w:rsidRPr="00812637">
        <w:rPr>
          <w:rFonts w:cs="Times New Roman"/>
          <w:sz w:val="24"/>
          <w:szCs w:val="24"/>
        </w:rPr>
        <w:t xml:space="preserve">i ne obavlja  niti jednu dodatnu ili gospodarsku djelatnost. </w:t>
      </w:r>
      <w:r w:rsidR="00083337" w:rsidRPr="00812637">
        <w:rPr>
          <w:rFonts w:cs="Times New Roman"/>
          <w:sz w:val="24"/>
          <w:szCs w:val="24"/>
        </w:rPr>
        <w:t>Tijekom godine nije došlo do promjena ustroja ili organizacije.</w:t>
      </w:r>
    </w:p>
    <w:p w:rsidR="00083337" w:rsidRDefault="00083337" w:rsidP="00B3451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Škola nije obveznik PDV-a.</w:t>
      </w:r>
    </w:p>
    <w:p w:rsidR="00812637" w:rsidRDefault="009032CA" w:rsidP="00B34518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Škola posluje u skladu sa Zakonom o odgoju i obrazovanju</w:t>
      </w:r>
      <w:r w:rsidR="00666547">
        <w:rPr>
          <w:rFonts w:cs="Times New Roman"/>
          <w:sz w:val="24"/>
          <w:szCs w:val="24"/>
        </w:rPr>
        <w:t xml:space="preserve"> u osnovnoj i srednjoj školi (</w:t>
      </w:r>
      <w:r>
        <w:rPr>
          <w:rFonts w:cs="Times New Roman"/>
          <w:sz w:val="24"/>
          <w:szCs w:val="24"/>
        </w:rPr>
        <w:t xml:space="preserve"> </w:t>
      </w:r>
      <w:r w:rsidR="00666547" w:rsidRPr="00666547">
        <w:rPr>
          <w:rFonts w:cs="Times New Roman"/>
          <w:sz w:val="24"/>
          <w:szCs w:val="24"/>
        </w:rPr>
        <w:t>NN 87/08, 86/09, 92/10, 105/10, 90/11, 5/12, 16/12, 86/12, 126/12, 94/13, 152/14, 07/17, 68/18, 98/19</w:t>
      </w:r>
      <w:r w:rsidR="00666547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te Statutom škole. Vodi proračunsko računovodstvo temeljem</w:t>
      </w:r>
      <w:r w:rsidR="00C06568">
        <w:rPr>
          <w:rFonts w:cs="Times New Roman"/>
          <w:sz w:val="24"/>
          <w:szCs w:val="24"/>
        </w:rPr>
        <w:t xml:space="preserve"> Zakona o proračunu</w:t>
      </w:r>
      <w:r w:rsidR="00666547">
        <w:rPr>
          <w:rFonts w:cs="Times New Roman"/>
          <w:sz w:val="24"/>
          <w:szCs w:val="24"/>
        </w:rPr>
        <w:t xml:space="preserve"> (</w:t>
      </w:r>
      <w:r w:rsidR="00666547" w:rsidRPr="00666547">
        <w:rPr>
          <w:rFonts w:cs="Times New Roman"/>
          <w:sz w:val="24"/>
          <w:szCs w:val="24"/>
        </w:rPr>
        <w:t>NN 87/08, 136/12, 15/15</w:t>
      </w:r>
      <w:r w:rsidR="00666547">
        <w:rPr>
          <w:rFonts w:cs="Times New Roman"/>
          <w:sz w:val="24"/>
          <w:szCs w:val="24"/>
        </w:rPr>
        <w:t>)</w:t>
      </w:r>
      <w:r w:rsidR="00C0656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Pravilnika o proračunskom računovodstvu i </w:t>
      </w:r>
      <w:r w:rsidR="007C306F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ačunskom planu</w:t>
      </w:r>
      <w:r w:rsidR="00666547">
        <w:rPr>
          <w:rFonts w:cs="Times New Roman"/>
          <w:sz w:val="24"/>
          <w:szCs w:val="24"/>
        </w:rPr>
        <w:t xml:space="preserve"> (NN</w:t>
      </w:r>
      <w:r w:rsidR="00666547" w:rsidRPr="00666547">
        <w:rPr>
          <w:rFonts w:cs="Times New Roman"/>
          <w:sz w:val="24"/>
          <w:szCs w:val="24"/>
        </w:rPr>
        <w:t xml:space="preserve"> 124/14, 115/15, 87/16, 3/18 i 126/19)</w:t>
      </w:r>
      <w:r>
        <w:rPr>
          <w:rFonts w:cs="Times New Roman"/>
          <w:sz w:val="24"/>
          <w:szCs w:val="24"/>
        </w:rPr>
        <w:t>, a financijske izvještaje sastavlja i predaje u skladu s odredbama Pravilnika o financijskom izvještavanju u proračunskom računovodstvu</w:t>
      </w:r>
      <w:r w:rsidR="00666547">
        <w:rPr>
          <w:rFonts w:cs="Times New Roman"/>
          <w:sz w:val="24"/>
          <w:szCs w:val="24"/>
        </w:rPr>
        <w:t xml:space="preserve"> (</w:t>
      </w:r>
      <w:r w:rsidR="00666547" w:rsidRPr="00666547">
        <w:rPr>
          <w:rFonts w:cs="Times New Roman"/>
          <w:sz w:val="24"/>
          <w:szCs w:val="24"/>
        </w:rPr>
        <w:t>03/15, 93/15, 135/15, 2/17, 28/17, 112/18 i 126/19)</w:t>
      </w:r>
      <w:r>
        <w:rPr>
          <w:rFonts w:cs="Times New Roman"/>
          <w:sz w:val="24"/>
          <w:szCs w:val="24"/>
        </w:rPr>
        <w:t>.</w:t>
      </w:r>
    </w:p>
    <w:p w:rsidR="007C306F" w:rsidRPr="00812637" w:rsidRDefault="007C306F" w:rsidP="00B34518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Godišnji financijski izvještaji Osnovne škole Stjepana Radića Čaglin sastavljeni su nakon što su proknjižene sve poslovne promjene, događaji i transakcije za razdoblje siječanj-</w:t>
      </w:r>
      <w:r w:rsidR="00320D7C">
        <w:rPr>
          <w:rFonts w:cs="Times New Roman"/>
          <w:sz w:val="24"/>
          <w:szCs w:val="24"/>
        </w:rPr>
        <w:t xml:space="preserve">lipanj </w:t>
      </w:r>
      <w:r>
        <w:rPr>
          <w:rFonts w:cs="Times New Roman"/>
          <w:sz w:val="24"/>
          <w:szCs w:val="24"/>
        </w:rPr>
        <w:t>20</w:t>
      </w:r>
      <w:r w:rsidR="00320D7C">
        <w:rPr>
          <w:rFonts w:cs="Times New Roman"/>
          <w:sz w:val="24"/>
          <w:szCs w:val="24"/>
        </w:rPr>
        <w:t>2</w:t>
      </w:r>
      <w:r w:rsidR="0053757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godine</w:t>
      </w:r>
      <w:r w:rsidR="00083337">
        <w:rPr>
          <w:rFonts w:cs="Times New Roman"/>
          <w:sz w:val="24"/>
          <w:szCs w:val="24"/>
        </w:rPr>
        <w:t xml:space="preserve">, prema odredbama Pravilnika o financijskom izvještavanju u proračunskom računovodstvu  u zakonom određenim rokovima što za proračunske korisnike jedinica lokalne i područne samouprave znači predaju do </w:t>
      </w:r>
      <w:r w:rsidR="00320D7C">
        <w:rPr>
          <w:rFonts w:cs="Times New Roman"/>
          <w:sz w:val="24"/>
          <w:szCs w:val="24"/>
        </w:rPr>
        <w:t>1</w:t>
      </w:r>
      <w:r w:rsidR="004A0E0F">
        <w:rPr>
          <w:rFonts w:cs="Times New Roman"/>
          <w:sz w:val="24"/>
          <w:szCs w:val="24"/>
        </w:rPr>
        <w:t>2</w:t>
      </w:r>
      <w:r w:rsidR="00320D7C">
        <w:rPr>
          <w:rFonts w:cs="Times New Roman"/>
          <w:sz w:val="24"/>
          <w:szCs w:val="24"/>
        </w:rPr>
        <w:t>. srpnja</w:t>
      </w:r>
      <w:r w:rsidR="00083337">
        <w:rPr>
          <w:rFonts w:cs="Times New Roman"/>
          <w:sz w:val="24"/>
          <w:szCs w:val="24"/>
        </w:rPr>
        <w:t xml:space="preserve"> 202</w:t>
      </w:r>
      <w:r w:rsidR="004A0E0F">
        <w:rPr>
          <w:rFonts w:cs="Times New Roman"/>
          <w:sz w:val="24"/>
          <w:szCs w:val="24"/>
        </w:rPr>
        <w:t>1</w:t>
      </w:r>
      <w:r w:rsidR="00083337">
        <w:rPr>
          <w:rFonts w:cs="Times New Roman"/>
          <w:sz w:val="24"/>
          <w:szCs w:val="24"/>
        </w:rPr>
        <w:t>. godine.</w:t>
      </w:r>
    </w:p>
    <w:p w:rsidR="003D6856" w:rsidRDefault="00812637" w:rsidP="00B3451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Odgovorna osoba Škole je Slađana Švajda, ravnateljica.</w:t>
      </w:r>
    </w:p>
    <w:p w:rsidR="004C0FB6" w:rsidRDefault="004C0FB6" w:rsidP="00B34518">
      <w:pPr>
        <w:pStyle w:val="Bezproreda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Bilješke uz financijske izvještaje </w:t>
      </w:r>
      <w:r w:rsidR="00812637">
        <w:rPr>
          <w:sz w:val="24"/>
          <w:szCs w:val="24"/>
        </w:rPr>
        <w:t xml:space="preserve">sastavljala je </w:t>
      </w:r>
      <w:r w:rsidR="00DF6744">
        <w:rPr>
          <w:sz w:val="24"/>
          <w:szCs w:val="24"/>
        </w:rPr>
        <w:t>Ana Marija Rezo</w:t>
      </w:r>
      <w:r w:rsidR="00812637">
        <w:rPr>
          <w:sz w:val="24"/>
          <w:szCs w:val="24"/>
        </w:rPr>
        <w:t>, voditelj računovodstva.</w:t>
      </w:r>
    </w:p>
    <w:p w:rsidR="005A77FE" w:rsidRDefault="005A77FE" w:rsidP="00B34518">
      <w:pPr>
        <w:pStyle w:val="Bezproreda"/>
        <w:jc w:val="both"/>
        <w:rPr>
          <w:b/>
          <w:sz w:val="24"/>
          <w:szCs w:val="24"/>
        </w:rPr>
      </w:pPr>
    </w:p>
    <w:p w:rsidR="00812637" w:rsidRDefault="00812637" w:rsidP="00B34518">
      <w:pPr>
        <w:pStyle w:val="Bezproreda"/>
        <w:jc w:val="both"/>
        <w:rPr>
          <w:b/>
          <w:sz w:val="28"/>
          <w:szCs w:val="28"/>
          <w:u w:val="single"/>
        </w:rPr>
      </w:pPr>
    </w:p>
    <w:p w:rsidR="001F1B49" w:rsidRDefault="001F1B49" w:rsidP="00B34518">
      <w:pPr>
        <w:pStyle w:val="Bezproreda"/>
        <w:jc w:val="both"/>
        <w:rPr>
          <w:sz w:val="24"/>
          <w:szCs w:val="24"/>
        </w:rPr>
      </w:pPr>
    </w:p>
    <w:p w:rsidR="009E6F72" w:rsidRDefault="009E6F72" w:rsidP="00B34518">
      <w:pPr>
        <w:pStyle w:val="Bezproreda"/>
        <w:jc w:val="both"/>
        <w:rPr>
          <w:sz w:val="24"/>
          <w:szCs w:val="24"/>
        </w:rPr>
      </w:pPr>
    </w:p>
    <w:p w:rsidR="009E6F72" w:rsidRDefault="009E6F72" w:rsidP="00B34518">
      <w:pPr>
        <w:pStyle w:val="Bezproreda"/>
        <w:jc w:val="both"/>
        <w:rPr>
          <w:sz w:val="24"/>
          <w:szCs w:val="24"/>
        </w:rPr>
      </w:pPr>
    </w:p>
    <w:p w:rsidR="009E6F72" w:rsidRDefault="009E6F72" w:rsidP="00B34518">
      <w:pPr>
        <w:pStyle w:val="Bezproreda"/>
        <w:jc w:val="both"/>
        <w:rPr>
          <w:sz w:val="24"/>
          <w:szCs w:val="24"/>
        </w:rPr>
      </w:pPr>
    </w:p>
    <w:p w:rsidR="009E6F72" w:rsidRDefault="009E6F72" w:rsidP="00B34518">
      <w:pPr>
        <w:pStyle w:val="Bezproreda"/>
        <w:jc w:val="both"/>
        <w:rPr>
          <w:sz w:val="24"/>
          <w:szCs w:val="24"/>
        </w:rPr>
      </w:pPr>
    </w:p>
    <w:p w:rsidR="009E6F72" w:rsidRDefault="009E6F72" w:rsidP="00B34518">
      <w:pPr>
        <w:pStyle w:val="Bezproreda"/>
        <w:jc w:val="both"/>
        <w:rPr>
          <w:sz w:val="24"/>
          <w:szCs w:val="24"/>
        </w:rPr>
      </w:pPr>
    </w:p>
    <w:p w:rsidR="005D1E24" w:rsidRDefault="005D1E24" w:rsidP="00B34518">
      <w:pPr>
        <w:pStyle w:val="Bezproreda"/>
        <w:jc w:val="both"/>
        <w:rPr>
          <w:sz w:val="24"/>
          <w:szCs w:val="24"/>
        </w:rPr>
      </w:pPr>
    </w:p>
    <w:p w:rsidR="009E6F72" w:rsidRDefault="009E6F72" w:rsidP="00B34518">
      <w:pPr>
        <w:pStyle w:val="Bezproreda"/>
        <w:jc w:val="both"/>
        <w:rPr>
          <w:sz w:val="24"/>
          <w:szCs w:val="24"/>
        </w:rPr>
      </w:pPr>
    </w:p>
    <w:p w:rsidR="009E6F72" w:rsidRDefault="009E6F72" w:rsidP="00B34518">
      <w:pPr>
        <w:pStyle w:val="Bezproreda"/>
        <w:jc w:val="both"/>
        <w:rPr>
          <w:sz w:val="24"/>
          <w:szCs w:val="24"/>
        </w:rPr>
      </w:pPr>
    </w:p>
    <w:p w:rsidR="009E6F72" w:rsidRDefault="009E6F72" w:rsidP="00B34518">
      <w:pPr>
        <w:pStyle w:val="Bezproreda"/>
        <w:jc w:val="both"/>
        <w:rPr>
          <w:sz w:val="24"/>
          <w:szCs w:val="24"/>
        </w:rPr>
      </w:pP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</w:pP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hr-HR"/>
        </w:rPr>
      </w:pPr>
      <w:r w:rsidRPr="00CB1254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hr-HR"/>
        </w:rPr>
        <w:lastRenderedPageBreak/>
        <w:t>BILJEŠKE UZ RAČUN PRIHODA I RASHODA</w:t>
      </w: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hr-HR"/>
        </w:rPr>
      </w:pPr>
      <w:r w:rsidRPr="00CB1254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hr-HR"/>
        </w:rPr>
        <w:t>(OBRAZAC PR-RAS VP 151)</w:t>
      </w: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hr-HR"/>
        </w:rPr>
      </w:pP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hr-HR"/>
        </w:rPr>
      </w:pP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</w:pPr>
      <w:r w:rsidRPr="00CB125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  <w:t>U razdoblju od 1.1.2021.-30.06.2021. godine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  <w:t xml:space="preserve"> Osnovna škola Stjepana Radića Čaglin </w:t>
      </w:r>
      <w:r w:rsidRPr="00CB125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  <w:t xml:space="preserve"> ostvarila je prihode poslovanja u iznosu od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  <w:t>2.773.915</w:t>
      </w:r>
      <w:r w:rsidRPr="00CB125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  <w:t xml:space="preserve"> kn iskazan na AOP 001 referentne stranice.  </w:t>
      </w: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</w:pPr>
      <w:r w:rsidRPr="00CB125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  <w:t>Ukupni prihodi:</w:t>
      </w: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5380"/>
        <w:gridCol w:w="1000"/>
        <w:gridCol w:w="2829"/>
      </w:tblGrid>
      <w:tr w:rsidR="00CB1254" w:rsidRPr="00CB1254" w:rsidTr="0067318D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</w:tr>
      <w:tr w:rsidR="00CB1254" w:rsidRPr="00CB1254" w:rsidTr="00A711A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Pomoći </w:t>
            </w:r>
            <w:proofErr w:type="spellStart"/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pror.korisnicima</w:t>
            </w:r>
            <w:proofErr w:type="spellEnd"/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iz proračuna koji im nije nadležan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AOP 063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D12CDC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2.321.459</w:t>
            </w:r>
          </w:p>
        </w:tc>
      </w:tr>
      <w:tr w:rsidR="00CB1254" w:rsidRPr="00CB1254" w:rsidTr="009934E8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Prihodi od imovine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AOP 077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D12CDC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</w:t>
            </w:r>
          </w:p>
        </w:tc>
      </w:tr>
      <w:tr w:rsidR="00CB1254" w:rsidRPr="00CB1254" w:rsidTr="009934E8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Prihodi od prodaje roba i usluga i donacija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AOP 119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D12CDC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400</w:t>
            </w:r>
          </w:p>
        </w:tc>
      </w:tr>
      <w:tr w:rsidR="00CB1254" w:rsidRPr="00CB1254" w:rsidTr="009934E8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Prihodi nadležnog proračuna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AOP 130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D12CDC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452.055</w:t>
            </w:r>
          </w:p>
        </w:tc>
      </w:tr>
      <w:tr w:rsidR="00CB1254" w:rsidRPr="00CB1254" w:rsidTr="009934E8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</w:tr>
      <w:tr w:rsidR="00CB1254" w:rsidRPr="00CB1254" w:rsidTr="00CB1254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UKUPNO: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</w:tr>
      <w:tr w:rsidR="00CB1254" w:rsidRPr="00CB1254" w:rsidTr="00A711A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254" w:rsidRPr="00CB1254" w:rsidRDefault="00D12CDC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2.773.915</w:t>
            </w:r>
          </w:p>
        </w:tc>
      </w:tr>
    </w:tbl>
    <w:p w:rsid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hr-HR"/>
        </w:rPr>
      </w:pPr>
    </w:p>
    <w:p w:rsidR="0067318D" w:rsidRDefault="0067318D" w:rsidP="00B34518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hr-HR"/>
        </w:rPr>
      </w:pPr>
      <w:r>
        <w:rPr>
          <w:rFonts w:ascii="Calibri" w:eastAsia="Times New Roman" w:hAnsi="Calibri" w:cs="Calibri"/>
          <w:i/>
          <w:iCs/>
          <w:color w:val="000000"/>
          <w:lang w:eastAsia="hr-HR"/>
        </w:rPr>
        <w:t xml:space="preserve">Prihodi </w:t>
      </w:r>
      <w:r w:rsidRPr="00537780">
        <w:rPr>
          <w:rFonts w:ascii="Calibri" w:eastAsia="Times New Roman" w:hAnsi="Calibri" w:cs="Calibri"/>
          <w:b/>
          <w:i/>
          <w:iCs/>
          <w:color w:val="000000"/>
          <w:lang w:eastAsia="hr-HR"/>
        </w:rPr>
        <w:t>AOP</w:t>
      </w:r>
      <w:r w:rsidR="00537780">
        <w:rPr>
          <w:rFonts w:ascii="Calibri" w:eastAsia="Times New Roman" w:hAnsi="Calibri" w:cs="Calibri"/>
          <w:b/>
          <w:i/>
          <w:iCs/>
          <w:color w:val="000000"/>
          <w:lang w:eastAsia="hr-HR"/>
        </w:rPr>
        <w:t xml:space="preserve"> 063 </w:t>
      </w:r>
      <w:r w:rsidR="00537780">
        <w:rPr>
          <w:rFonts w:ascii="Calibri" w:eastAsia="Times New Roman" w:hAnsi="Calibri" w:cs="Calibri"/>
          <w:i/>
          <w:iCs/>
          <w:color w:val="000000"/>
          <w:lang w:eastAsia="hr-HR"/>
        </w:rPr>
        <w:t xml:space="preserve">iznosi povećanje indeksa za 117,9 u odnosu na prošlu godinu 2020. iz razloga povećanja plaće zaposlenika škole te plaće zaposlenika novootvorenog  Dječjeg vrtića u sklopu OŠ Stjepana Radića </w:t>
      </w:r>
      <w:proofErr w:type="spellStart"/>
      <w:r w:rsidR="00537780">
        <w:rPr>
          <w:rFonts w:ascii="Calibri" w:eastAsia="Times New Roman" w:hAnsi="Calibri" w:cs="Calibri"/>
          <w:i/>
          <w:iCs/>
          <w:color w:val="000000"/>
          <w:lang w:eastAsia="hr-HR"/>
        </w:rPr>
        <w:t>Čaglin</w:t>
      </w:r>
      <w:proofErr w:type="spellEnd"/>
      <w:r w:rsidR="00B34518">
        <w:rPr>
          <w:rFonts w:ascii="Calibri" w:eastAsia="Times New Roman" w:hAnsi="Calibri" w:cs="Calibri"/>
          <w:i/>
          <w:iCs/>
          <w:color w:val="000000"/>
          <w:lang w:eastAsia="hr-HR"/>
        </w:rPr>
        <w:t>.</w:t>
      </w:r>
    </w:p>
    <w:p w:rsidR="00B34518" w:rsidRPr="00537780" w:rsidRDefault="00B34518" w:rsidP="00B34518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hr-HR"/>
        </w:rPr>
      </w:pP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hr-HR"/>
        </w:rPr>
      </w:pPr>
      <w:r w:rsidRPr="00CB1254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hr-HR"/>
        </w:rPr>
        <w:t xml:space="preserve">Rashodi </w:t>
      </w:r>
      <w:r w:rsidRPr="00CB125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  <w:t xml:space="preserve">poslovanja ostvareni od 1.1.2021.-30.06.2021. na AOP 146 referentne stranice iznose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  <w:t>2.519.135</w:t>
      </w:r>
      <w:r w:rsidRPr="00CB125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  <w:t xml:space="preserve"> kn, a čine ih : </w:t>
      </w: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tbl>
      <w:tblPr>
        <w:tblW w:w="8600" w:type="dxa"/>
        <w:tblInd w:w="113" w:type="dxa"/>
        <w:tblLook w:val="04A0" w:firstRow="1" w:lastRow="0" w:firstColumn="1" w:lastColumn="0" w:noHBand="0" w:noVBand="1"/>
      </w:tblPr>
      <w:tblGrid>
        <w:gridCol w:w="5380"/>
        <w:gridCol w:w="1000"/>
        <w:gridCol w:w="2220"/>
      </w:tblGrid>
      <w:tr w:rsidR="00CB1254" w:rsidRPr="00CB1254" w:rsidTr="00A711AF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Rashodi za zaposlene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AOP 147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54" w:rsidRPr="00CB1254" w:rsidRDefault="00EB7B0D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2.169.922</w:t>
            </w:r>
          </w:p>
        </w:tc>
      </w:tr>
      <w:tr w:rsidR="00CB1254" w:rsidRPr="00CB1254" w:rsidTr="009934E8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Materijalni rashodi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AOP 158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54" w:rsidRPr="00CB1254" w:rsidRDefault="00EB7B0D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348.807</w:t>
            </w:r>
          </w:p>
        </w:tc>
      </w:tr>
      <w:tr w:rsidR="00CB1254" w:rsidRPr="00CB1254" w:rsidTr="009934E8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Financijski rashodi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AOP 191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54" w:rsidRPr="00CB1254" w:rsidRDefault="00EB7B0D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406</w:t>
            </w:r>
          </w:p>
        </w:tc>
      </w:tr>
      <w:tr w:rsidR="00CB1254" w:rsidRPr="00CB1254" w:rsidTr="009934E8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Pomoći dane unutar općeg proračuna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AOP 219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</w:p>
        </w:tc>
      </w:tr>
      <w:tr w:rsidR="00CB1254" w:rsidRPr="00CB1254" w:rsidTr="00A711AF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UKUPNO: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54" w:rsidRPr="00CB1254" w:rsidRDefault="00CB1254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CB1254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54" w:rsidRPr="00CB1254" w:rsidRDefault="00EB7B0D" w:rsidP="00B34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2.519.135</w:t>
            </w:r>
          </w:p>
        </w:tc>
      </w:tr>
    </w:tbl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CB1254" w:rsidRDefault="00CB1254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CB1254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Za nabavku </w:t>
      </w:r>
      <w:r w:rsidR="00C314BD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nefinancijske imovine </w:t>
      </w:r>
      <w:r w:rsidRPr="00CB1254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utrošeno je </w:t>
      </w:r>
      <w:r w:rsidR="00C314BD">
        <w:rPr>
          <w:rFonts w:ascii="Calibri" w:eastAsia="Times New Roman" w:hAnsi="Calibri" w:cs="Calibri"/>
          <w:i/>
          <w:sz w:val="24"/>
          <w:szCs w:val="24"/>
          <w:lang w:eastAsia="hr-HR"/>
        </w:rPr>
        <w:t>8514</w:t>
      </w:r>
      <w:r w:rsidRPr="00CB1254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</w:t>
      </w:r>
      <w:r w:rsidR="00C314BD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kn </w:t>
      </w:r>
      <w:r w:rsidRPr="00CB1254">
        <w:rPr>
          <w:rFonts w:ascii="Calibri" w:eastAsia="Times New Roman" w:hAnsi="Calibri" w:cs="Calibri"/>
          <w:i/>
          <w:sz w:val="24"/>
          <w:szCs w:val="24"/>
          <w:lang w:eastAsia="hr-HR"/>
        </w:rPr>
        <w:t>AOP  344.</w:t>
      </w:r>
    </w:p>
    <w:p w:rsidR="006D5651" w:rsidRDefault="006D5651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6D5651" w:rsidRDefault="006D5651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A2125F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AOP634</w:t>
      </w:r>
      <w:r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prikazuje ostvareni višak prihoda i primitaka u iznosu 246.266 kn</w:t>
      </w:r>
    </w:p>
    <w:p w:rsidR="006D5651" w:rsidRDefault="006D5651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A2125F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AOP</w:t>
      </w:r>
      <w:r w:rsidR="00A2125F" w:rsidRPr="00A2125F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637</w:t>
      </w:r>
      <w:r w:rsidR="00A2125F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prikazuje preneseni manjak prihoda i primitaka 317.662 kn</w:t>
      </w:r>
    </w:p>
    <w:p w:rsidR="00A2125F" w:rsidRDefault="00A2125F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A2125F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AOP639</w:t>
      </w:r>
      <w:r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prikazuje manjak prihoda i primitaka za pokriće u sljedećem razdoblju 71.396 kn </w:t>
      </w:r>
    </w:p>
    <w:p w:rsidR="007949EA" w:rsidRDefault="007949EA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7949EA" w:rsidRDefault="007949EA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7949EA" w:rsidRDefault="007949EA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7949EA" w:rsidRDefault="007949EA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7949EA" w:rsidRDefault="007949EA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7949EA" w:rsidRDefault="007949EA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7949EA" w:rsidRDefault="007949EA" w:rsidP="00CB1254">
      <w:pPr>
        <w:spacing w:after="0" w:line="240" w:lineRule="auto"/>
        <w:ind w:right="-288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7949EA" w:rsidRDefault="007949EA" w:rsidP="00CB1254">
      <w:pPr>
        <w:spacing w:after="0" w:line="240" w:lineRule="auto"/>
        <w:ind w:right="-288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7949EA" w:rsidRDefault="007949EA" w:rsidP="00CB1254">
      <w:pPr>
        <w:spacing w:after="0" w:line="240" w:lineRule="auto"/>
        <w:ind w:right="-288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B34518" w:rsidRDefault="00B34518" w:rsidP="00CB1254">
      <w:pPr>
        <w:spacing w:after="0" w:line="240" w:lineRule="auto"/>
        <w:ind w:right="-288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B34518" w:rsidRDefault="00B34518" w:rsidP="00CB1254">
      <w:pPr>
        <w:spacing w:after="0" w:line="240" w:lineRule="auto"/>
        <w:ind w:right="-288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B34518" w:rsidRDefault="00B34518" w:rsidP="00CB1254">
      <w:pPr>
        <w:spacing w:after="0" w:line="240" w:lineRule="auto"/>
        <w:ind w:right="-288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7949EA" w:rsidRDefault="007949EA" w:rsidP="00CB1254">
      <w:pPr>
        <w:spacing w:after="0" w:line="240" w:lineRule="auto"/>
        <w:ind w:right="-288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7949EA" w:rsidRDefault="007949EA" w:rsidP="00CB1254">
      <w:pPr>
        <w:spacing w:after="0" w:line="240" w:lineRule="auto"/>
        <w:ind w:right="-288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CB1254" w:rsidRPr="00CB1254" w:rsidRDefault="00CB1254" w:rsidP="00CB125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CB1254" w:rsidRPr="00CB1254" w:rsidRDefault="00CB1254" w:rsidP="00CB1254">
      <w:pPr>
        <w:spacing w:after="0" w:line="240" w:lineRule="auto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hr-HR"/>
        </w:rPr>
      </w:pPr>
      <w:r w:rsidRPr="00CB1254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hr-HR"/>
        </w:rPr>
        <w:t>BILJEŠKE UZ OBVEZE (Obveze VP 159)</w:t>
      </w:r>
    </w:p>
    <w:p w:rsidR="00CB1254" w:rsidRPr="00CB1254" w:rsidRDefault="00CB1254" w:rsidP="00B34518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hr-HR"/>
        </w:rPr>
      </w:pPr>
    </w:p>
    <w:p w:rsidR="00CB1254" w:rsidRDefault="00CB1254" w:rsidP="00B34518">
      <w:pPr>
        <w:spacing w:after="0" w:line="360" w:lineRule="auto"/>
        <w:jc w:val="both"/>
        <w:rPr>
          <w:rFonts w:ascii="Calibri" w:eastAsia="Calibri" w:hAnsi="Calibri" w:cs="Calibri"/>
          <w:i/>
          <w:iCs/>
          <w:color w:val="000000"/>
        </w:rPr>
      </w:pPr>
      <w:r w:rsidRPr="00CB1254">
        <w:rPr>
          <w:rFonts w:ascii="Calibri" w:eastAsia="Calibri" w:hAnsi="Calibri" w:cs="Calibri"/>
          <w:i/>
          <w:iCs/>
          <w:color w:val="000000"/>
        </w:rPr>
        <w:t>Stanje obveza na kraju obračunskog razdoblja u iznosi od 548.436,00 kn AOP 097</w:t>
      </w:r>
      <w:r w:rsidR="00B34518">
        <w:rPr>
          <w:rFonts w:ascii="Calibri" w:eastAsia="Calibri" w:hAnsi="Calibri" w:cs="Calibri"/>
          <w:i/>
          <w:iCs/>
          <w:color w:val="000000"/>
        </w:rPr>
        <w:t>,</w:t>
      </w:r>
      <w:r>
        <w:rPr>
          <w:rFonts w:ascii="Calibri" w:eastAsia="Calibri" w:hAnsi="Calibri" w:cs="Calibri"/>
          <w:i/>
          <w:iCs/>
          <w:color w:val="000000"/>
        </w:rPr>
        <w:t xml:space="preserve"> od toga</w:t>
      </w:r>
      <w:r w:rsidR="00B34518">
        <w:rPr>
          <w:rFonts w:ascii="Calibri" w:eastAsia="Calibri" w:hAnsi="Calibri" w:cs="Calibri"/>
          <w:i/>
          <w:iCs/>
          <w:color w:val="000000"/>
        </w:rPr>
        <w:t xml:space="preserve"> AOP 081 odnosi se na </w:t>
      </w:r>
      <w:r w:rsidR="00C314BD">
        <w:rPr>
          <w:rFonts w:ascii="Calibri" w:eastAsia="Calibri" w:hAnsi="Calibri" w:cs="Calibri"/>
          <w:i/>
          <w:iCs/>
          <w:color w:val="000000"/>
        </w:rPr>
        <w:t>5</w:t>
      </w:r>
      <w:r w:rsidR="00B34518">
        <w:rPr>
          <w:rFonts w:ascii="Calibri" w:eastAsia="Calibri" w:hAnsi="Calibri" w:cs="Calibri"/>
          <w:i/>
          <w:iCs/>
          <w:color w:val="000000"/>
        </w:rPr>
        <w:t>6</w:t>
      </w:r>
      <w:r w:rsidR="00C314BD">
        <w:rPr>
          <w:rFonts w:ascii="Calibri" w:eastAsia="Calibri" w:hAnsi="Calibri" w:cs="Calibri"/>
          <w:i/>
          <w:iCs/>
          <w:color w:val="000000"/>
        </w:rPr>
        <w:t>.</w:t>
      </w:r>
      <w:r w:rsidR="00B34518">
        <w:rPr>
          <w:rFonts w:ascii="Calibri" w:eastAsia="Calibri" w:hAnsi="Calibri" w:cs="Calibri"/>
          <w:i/>
          <w:iCs/>
          <w:color w:val="000000"/>
        </w:rPr>
        <w:t>795</w:t>
      </w:r>
      <w:r w:rsidR="00C314BD">
        <w:rPr>
          <w:rFonts w:ascii="Calibri" w:eastAsia="Calibri" w:hAnsi="Calibri" w:cs="Calibri"/>
          <w:i/>
          <w:iCs/>
          <w:color w:val="000000"/>
        </w:rPr>
        <w:t xml:space="preserve"> kn Ostale nespomenute obveze bolovanje</w:t>
      </w:r>
      <w:r w:rsidR="0079600A">
        <w:rPr>
          <w:rFonts w:ascii="Calibri" w:eastAsia="Calibri" w:hAnsi="Calibri" w:cs="Calibri"/>
          <w:i/>
          <w:iCs/>
          <w:color w:val="000000"/>
        </w:rPr>
        <w:t xml:space="preserve"> HZZO</w:t>
      </w:r>
      <w:r w:rsidR="00683CC2">
        <w:rPr>
          <w:rFonts w:ascii="Calibri" w:eastAsia="Calibri" w:hAnsi="Calibri" w:cs="Calibri"/>
          <w:i/>
          <w:iCs/>
          <w:color w:val="000000"/>
        </w:rPr>
        <w:t xml:space="preserve">, te </w:t>
      </w:r>
      <w:r w:rsidR="00225DFA">
        <w:rPr>
          <w:rFonts w:ascii="Calibri" w:eastAsia="Calibri" w:hAnsi="Calibri" w:cs="Calibri"/>
          <w:i/>
          <w:iCs/>
          <w:color w:val="000000"/>
        </w:rPr>
        <w:t>preostali dio</w:t>
      </w:r>
      <w:r w:rsidR="00B34518">
        <w:rPr>
          <w:rFonts w:ascii="Calibri" w:eastAsia="Calibri" w:hAnsi="Calibri" w:cs="Calibri"/>
          <w:i/>
          <w:iCs/>
          <w:color w:val="000000"/>
        </w:rPr>
        <w:t xml:space="preserve"> 491.641 kn</w:t>
      </w:r>
      <w:r w:rsidR="00225DFA">
        <w:rPr>
          <w:rFonts w:ascii="Calibri" w:eastAsia="Calibri" w:hAnsi="Calibri" w:cs="Calibri"/>
          <w:i/>
          <w:iCs/>
          <w:color w:val="000000"/>
        </w:rPr>
        <w:t xml:space="preserve"> odnosi se na </w:t>
      </w:r>
      <w:r w:rsidR="00683CC2">
        <w:rPr>
          <w:rFonts w:ascii="Calibri" w:eastAsia="Calibri" w:hAnsi="Calibri" w:cs="Calibri"/>
          <w:i/>
          <w:iCs/>
          <w:color w:val="000000"/>
        </w:rPr>
        <w:t>plać</w:t>
      </w:r>
      <w:r w:rsidR="00225DFA">
        <w:rPr>
          <w:rFonts w:ascii="Calibri" w:eastAsia="Calibri" w:hAnsi="Calibri" w:cs="Calibri"/>
          <w:i/>
          <w:iCs/>
          <w:color w:val="000000"/>
        </w:rPr>
        <w:t xml:space="preserve">u </w:t>
      </w:r>
      <w:r w:rsidR="00683CC2">
        <w:rPr>
          <w:rFonts w:ascii="Calibri" w:eastAsia="Calibri" w:hAnsi="Calibri" w:cs="Calibri"/>
          <w:i/>
          <w:iCs/>
          <w:color w:val="000000"/>
        </w:rPr>
        <w:t xml:space="preserve"> za mjesec lipanj</w:t>
      </w:r>
      <w:r w:rsidR="00AC1B98">
        <w:rPr>
          <w:rFonts w:ascii="Calibri" w:eastAsia="Calibri" w:hAnsi="Calibri" w:cs="Calibri"/>
          <w:i/>
          <w:iCs/>
          <w:color w:val="000000"/>
        </w:rPr>
        <w:t xml:space="preserve"> i rashode poslovanja</w:t>
      </w:r>
      <w:r w:rsidR="00683CC2">
        <w:rPr>
          <w:rFonts w:ascii="Calibri" w:eastAsia="Calibri" w:hAnsi="Calibri" w:cs="Calibri"/>
          <w:i/>
          <w:iCs/>
          <w:color w:val="000000"/>
        </w:rPr>
        <w:t xml:space="preserve">. </w:t>
      </w:r>
    </w:p>
    <w:p w:rsidR="00CB1254" w:rsidRDefault="00C314BD" w:rsidP="00B34518">
      <w:pPr>
        <w:spacing w:after="0" w:line="360" w:lineRule="auto"/>
        <w:jc w:val="both"/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eastAsia="Calibri" w:hAnsi="Calibri" w:cs="Calibri"/>
          <w:i/>
          <w:iCs/>
          <w:color w:val="000000"/>
        </w:rPr>
        <w:t xml:space="preserve">Tijekom godine nije bilo značajnih promjena na obvezama.  </w:t>
      </w:r>
    </w:p>
    <w:p w:rsidR="007949EA" w:rsidRDefault="007949EA" w:rsidP="00B34518">
      <w:pPr>
        <w:spacing w:after="0" w:line="360" w:lineRule="auto"/>
        <w:jc w:val="both"/>
        <w:rPr>
          <w:rFonts w:ascii="Calibri" w:eastAsia="Calibri" w:hAnsi="Calibri" w:cs="Calibri"/>
          <w:i/>
          <w:iCs/>
          <w:color w:val="000000"/>
        </w:rPr>
      </w:pPr>
    </w:p>
    <w:p w:rsidR="007949EA" w:rsidRPr="007949EA" w:rsidRDefault="007949EA" w:rsidP="00B34518">
      <w:pPr>
        <w:spacing w:after="0" w:line="360" w:lineRule="auto"/>
        <w:jc w:val="both"/>
        <w:rPr>
          <w:rFonts w:ascii="Calibri" w:eastAsia="Calibri" w:hAnsi="Calibri" w:cs="Calibri"/>
          <w:i/>
          <w:iCs/>
          <w:color w:val="000000"/>
        </w:rPr>
      </w:pPr>
    </w:p>
    <w:p w:rsidR="007949EA" w:rsidRPr="007949EA" w:rsidRDefault="007949EA" w:rsidP="00B34518">
      <w:pPr>
        <w:pStyle w:val="Bezproreda"/>
        <w:jc w:val="both"/>
        <w:rPr>
          <w:i/>
          <w:sz w:val="24"/>
          <w:szCs w:val="24"/>
        </w:rPr>
      </w:pPr>
      <w:proofErr w:type="spellStart"/>
      <w:r w:rsidRPr="007949EA">
        <w:rPr>
          <w:i/>
          <w:sz w:val="24"/>
          <w:szCs w:val="24"/>
        </w:rPr>
        <w:t>Čaglin</w:t>
      </w:r>
      <w:proofErr w:type="spellEnd"/>
      <w:r w:rsidRPr="007949EA">
        <w:rPr>
          <w:i/>
          <w:sz w:val="24"/>
          <w:szCs w:val="24"/>
        </w:rPr>
        <w:t>, 12. srpnja 2021. godine</w:t>
      </w:r>
    </w:p>
    <w:p w:rsidR="007949EA" w:rsidRPr="007949EA" w:rsidRDefault="007949EA" w:rsidP="00B34518">
      <w:pPr>
        <w:pStyle w:val="Bezproreda"/>
        <w:jc w:val="both"/>
        <w:rPr>
          <w:i/>
          <w:sz w:val="24"/>
          <w:szCs w:val="24"/>
        </w:rPr>
      </w:pPr>
    </w:p>
    <w:p w:rsidR="007949EA" w:rsidRPr="007949EA" w:rsidRDefault="007949EA" w:rsidP="00B34518">
      <w:pPr>
        <w:pStyle w:val="Bezproreda"/>
        <w:jc w:val="both"/>
        <w:rPr>
          <w:i/>
          <w:sz w:val="24"/>
          <w:szCs w:val="24"/>
        </w:rPr>
      </w:pPr>
    </w:p>
    <w:p w:rsidR="007949EA" w:rsidRPr="007949EA" w:rsidRDefault="007949EA" w:rsidP="00B34518">
      <w:pPr>
        <w:pStyle w:val="Bezproreda"/>
        <w:jc w:val="both"/>
        <w:rPr>
          <w:i/>
          <w:sz w:val="24"/>
          <w:szCs w:val="24"/>
        </w:rPr>
      </w:pPr>
    </w:p>
    <w:p w:rsidR="007949EA" w:rsidRPr="007949EA" w:rsidRDefault="007949EA" w:rsidP="00B34518">
      <w:pPr>
        <w:pStyle w:val="Bezproreda"/>
        <w:jc w:val="both"/>
        <w:rPr>
          <w:i/>
          <w:sz w:val="24"/>
          <w:szCs w:val="24"/>
        </w:rPr>
      </w:pPr>
    </w:p>
    <w:p w:rsidR="007949EA" w:rsidRPr="007949EA" w:rsidRDefault="007949EA" w:rsidP="00B34518">
      <w:pPr>
        <w:pStyle w:val="Bezproreda"/>
        <w:jc w:val="both"/>
        <w:rPr>
          <w:i/>
          <w:sz w:val="24"/>
          <w:szCs w:val="24"/>
        </w:rPr>
      </w:pPr>
      <w:r w:rsidRPr="007949EA">
        <w:rPr>
          <w:i/>
          <w:sz w:val="24"/>
          <w:szCs w:val="24"/>
        </w:rPr>
        <w:t>Osoba za kontaktiranje: ANA MARIJA REZO</w:t>
      </w:r>
    </w:p>
    <w:p w:rsidR="007949EA" w:rsidRPr="007949EA" w:rsidRDefault="007949EA" w:rsidP="00B34518">
      <w:pPr>
        <w:pStyle w:val="Bezproreda"/>
        <w:jc w:val="both"/>
        <w:rPr>
          <w:i/>
          <w:sz w:val="24"/>
          <w:szCs w:val="24"/>
        </w:rPr>
      </w:pPr>
      <w:r w:rsidRPr="007949EA">
        <w:rPr>
          <w:i/>
          <w:sz w:val="24"/>
          <w:szCs w:val="24"/>
        </w:rPr>
        <w:t>Telefon za kontakt: 034/221-028</w:t>
      </w:r>
    </w:p>
    <w:p w:rsidR="007949EA" w:rsidRPr="007949EA" w:rsidRDefault="007949EA" w:rsidP="00B34518">
      <w:pPr>
        <w:pStyle w:val="Bezproreda"/>
        <w:jc w:val="both"/>
        <w:rPr>
          <w:i/>
          <w:sz w:val="24"/>
          <w:szCs w:val="24"/>
        </w:rPr>
      </w:pPr>
      <w:r w:rsidRPr="007949EA">
        <w:rPr>
          <w:i/>
          <w:sz w:val="24"/>
          <w:szCs w:val="24"/>
        </w:rPr>
        <w:t>Odgovorna osoba: SLAĐANA ŠVAJDA</w:t>
      </w:r>
    </w:p>
    <w:p w:rsidR="007949EA" w:rsidRPr="009E6F72" w:rsidRDefault="007949EA" w:rsidP="00B34518">
      <w:pPr>
        <w:spacing w:after="0" w:line="360" w:lineRule="auto"/>
        <w:jc w:val="both"/>
        <w:rPr>
          <w:rFonts w:ascii="Calibri" w:eastAsia="Calibri" w:hAnsi="Calibri" w:cs="Calibri"/>
          <w:i/>
          <w:iCs/>
          <w:color w:val="000000"/>
        </w:rPr>
      </w:pPr>
    </w:p>
    <w:p w:rsidR="00CB1254" w:rsidRPr="00CB1254" w:rsidRDefault="00CB1254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:rsidR="00CB1254" w:rsidRPr="00CB1254" w:rsidRDefault="00CB1254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CB1254">
        <w:rPr>
          <w:rFonts w:ascii="Calibri" w:eastAsia="Times New Roman" w:hAnsi="Calibri" w:cs="Calibri"/>
          <w:i/>
          <w:sz w:val="24"/>
          <w:szCs w:val="24"/>
          <w:lang w:eastAsia="hr-HR"/>
        </w:rPr>
        <w:t>Voditeljica Računovodstva:                                                                                     Ravnatelj:</w:t>
      </w:r>
    </w:p>
    <w:p w:rsidR="00CB1254" w:rsidRPr="00CB1254" w:rsidRDefault="00CB1254" w:rsidP="00B34518">
      <w:pPr>
        <w:spacing w:after="0" w:line="240" w:lineRule="auto"/>
        <w:ind w:right="-28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B1254">
        <w:rPr>
          <w:rFonts w:ascii="Calibri" w:eastAsia="Times New Roman" w:hAnsi="Calibri" w:cs="Calibri"/>
          <w:i/>
          <w:sz w:val="24"/>
          <w:szCs w:val="24"/>
          <w:lang w:eastAsia="hr-HR"/>
        </w:rPr>
        <w:t>Ana Marija Rezo</w:t>
      </w:r>
      <w:r w:rsidRPr="00CB1254">
        <w:rPr>
          <w:rFonts w:ascii="Calibri" w:eastAsia="Times New Roman" w:hAnsi="Calibri" w:cs="Calibri"/>
          <w:i/>
          <w:sz w:val="24"/>
          <w:szCs w:val="24"/>
          <w:lang w:eastAsia="hr-HR"/>
        </w:rPr>
        <w:tab/>
        <w:t xml:space="preserve">                                                                    </w:t>
      </w:r>
      <w:r w:rsidR="004705F1">
        <w:rPr>
          <w:rFonts w:ascii="Calibri" w:eastAsia="Times New Roman" w:hAnsi="Calibri" w:cs="Calibri"/>
          <w:i/>
          <w:sz w:val="24"/>
          <w:szCs w:val="24"/>
          <w:lang w:eastAsia="hr-HR"/>
        </w:rPr>
        <w:tab/>
      </w:r>
      <w:r w:rsidR="004705F1">
        <w:rPr>
          <w:rFonts w:ascii="Calibri" w:eastAsia="Times New Roman" w:hAnsi="Calibri" w:cs="Calibri"/>
          <w:i/>
          <w:sz w:val="24"/>
          <w:szCs w:val="24"/>
          <w:lang w:eastAsia="hr-HR"/>
        </w:rPr>
        <w:tab/>
      </w:r>
      <w:r w:rsidRPr="00CB1254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 Slađana Švajda </w:t>
      </w:r>
    </w:p>
    <w:p w:rsidR="00666547" w:rsidRDefault="00666547" w:rsidP="00B34518">
      <w:pPr>
        <w:pStyle w:val="Bezproreda"/>
        <w:jc w:val="both"/>
        <w:rPr>
          <w:b/>
          <w:sz w:val="28"/>
          <w:szCs w:val="28"/>
          <w:u w:val="single"/>
        </w:rPr>
      </w:pPr>
    </w:p>
    <w:p w:rsidR="00666547" w:rsidRDefault="00666547" w:rsidP="00B34518">
      <w:pPr>
        <w:pStyle w:val="Bezproreda"/>
        <w:jc w:val="both"/>
        <w:rPr>
          <w:b/>
          <w:sz w:val="28"/>
          <w:szCs w:val="28"/>
          <w:u w:val="single"/>
        </w:rPr>
      </w:pPr>
    </w:p>
    <w:p w:rsidR="00666547" w:rsidRDefault="00666547" w:rsidP="00B34518">
      <w:pPr>
        <w:pStyle w:val="Bezproreda"/>
        <w:jc w:val="both"/>
        <w:rPr>
          <w:b/>
          <w:sz w:val="28"/>
          <w:szCs w:val="28"/>
          <w:u w:val="single"/>
        </w:rPr>
      </w:pPr>
    </w:p>
    <w:p w:rsidR="00666547" w:rsidRDefault="00666547" w:rsidP="00B34518">
      <w:pPr>
        <w:pStyle w:val="Bezproreda"/>
        <w:jc w:val="both"/>
        <w:rPr>
          <w:b/>
          <w:sz w:val="28"/>
          <w:szCs w:val="28"/>
          <w:u w:val="single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C54410" w:rsidRDefault="00C54410" w:rsidP="007432D1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431396" w:rsidRDefault="00431396" w:rsidP="00070D23">
      <w:pPr>
        <w:spacing w:after="0" w:line="240" w:lineRule="auto"/>
        <w:rPr>
          <w:b/>
          <w:i/>
          <w:sz w:val="28"/>
          <w:szCs w:val="28"/>
          <w:u w:val="single"/>
        </w:rPr>
      </w:pPr>
    </w:p>
    <w:sectPr w:rsidR="0043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15"/>
    <w:multiLevelType w:val="hybridMultilevel"/>
    <w:tmpl w:val="7E0AA372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180AE4"/>
    <w:multiLevelType w:val="hybridMultilevel"/>
    <w:tmpl w:val="E51ACA2C"/>
    <w:lvl w:ilvl="0" w:tplc="9F48F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DA1"/>
    <w:multiLevelType w:val="hybridMultilevel"/>
    <w:tmpl w:val="A6A6AF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215D5"/>
    <w:multiLevelType w:val="hybridMultilevel"/>
    <w:tmpl w:val="93547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0DC7"/>
    <w:multiLevelType w:val="hybridMultilevel"/>
    <w:tmpl w:val="89A645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7D7140D"/>
    <w:multiLevelType w:val="hybridMultilevel"/>
    <w:tmpl w:val="69984CB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A10CB"/>
    <w:multiLevelType w:val="hybridMultilevel"/>
    <w:tmpl w:val="F7EE21A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F78E6"/>
    <w:multiLevelType w:val="hybridMultilevel"/>
    <w:tmpl w:val="E18A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8F"/>
    <w:multiLevelType w:val="multilevel"/>
    <w:tmpl w:val="C8445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9" w15:restartNumberingAfterBreak="0">
    <w:nsid w:val="57F46EE7"/>
    <w:multiLevelType w:val="hybridMultilevel"/>
    <w:tmpl w:val="50344140"/>
    <w:lvl w:ilvl="0" w:tplc="6B22922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E22226"/>
    <w:multiLevelType w:val="hybridMultilevel"/>
    <w:tmpl w:val="4DEA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F1B53"/>
    <w:multiLevelType w:val="hybridMultilevel"/>
    <w:tmpl w:val="DA2ECE8A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8A16C4"/>
    <w:multiLevelType w:val="hybridMultilevel"/>
    <w:tmpl w:val="1DB60F74"/>
    <w:lvl w:ilvl="0" w:tplc="9F48FC76">
      <w:start w:val="1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3D16AC5"/>
    <w:multiLevelType w:val="hybridMultilevel"/>
    <w:tmpl w:val="B5808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40ACC"/>
    <w:multiLevelType w:val="hybridMultilevel"/>
    <w:tmpl w:val="7324BF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F428DF"/>
    <w:multiLevelType w:val="hybridMultilevel"/>
    <w:tmpl w:val="46FEF6AC"/>
    <w:lvl w:ilvl="0" w:tplc="9F48FC7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56"/>
    <w:rsid w:val="00014900"/>
    <w:rsid w:val="0004539D"/>
    <w:rsid w:val="00061DCE"/>
    <w:rsid w:val="000641AD"/>
    <w:rsid w:val="00070D23"/>
    <w:rsid w:val="00073149"/>
    <w:rsid w:val="00082ABA"/>
    <w:rsid w:val="00083337"/>
    <w:rsid w:val="00091772"/>
    <w:rsid w:val="000A4180"/>
    <w:rsid w:val="000D442F"/>
    <w:rsid w:val="000D44C4"/>
    <w:rsid w:val="000E2B4F"/>
    <w:rsid w:val="00137DCD"/>
    <w:rsid w:val="00141685"/>
    <w:rsid w:val="00147E68"/>
    <w:rsid w:val="00172955"/>
    <w:rsid w:val="00180D5C"/>
    <w:rsid w:val="00191381"/>
    <w:rsid w:val="001923D4"/>
    <w:rsid w:val="001A38F8"/>
    <w:rsid w:val="001B7CAF"/>
    <w:rsid w:val="001D4FFE"/>
    <w:rsid w:val="001F1B49"/>
    <w:rsid w:val="001F248F"/>
    <w:rsid w:val="00225DFA"/>
    <w:rsid w:val="00242683"/>
    <w:rsid w:val="00246A9F"/>
    <w:rsid w:val="002717B7"/>
    <w:rsid w:val="00293AA4"/>
    <w:rsid w:val="002A5801"/>
    <w:rsid w:val="002A7AAD"/>
    <w:rsid w:val="002B1508"/>
    <w:rsid w:val="002D2CE7"/>
    <w:rsid w:val="002E0491"/>
    <w:rsid w:val="002F1B9C"/>
    <w:rsid w:val="002F1E14"/>
    <w:rsid w:val="00320D7C"/>
    <w:rsid w:val="00323948"/>
    <w:rsid w:val="00324F98"/>
    <w:rsid w:val="00343474"/>
    <w:rsid w:val="003448A4"/>
    <w:rsid w:val="00366788"/>
    <w:rsid w:val="003818DA"/>
    <w:rsid w:val="003945C3"/>
    <w:rsid w:val="003A3BE2"/>
    <w:rsid w:val="003B55FB"/>
    <w:rsid w:val="003D6856"/>
    <w:rsid w:val="003F0FA7"/>
    <w:rsid w:val="0041034C"/>
    <w:rsid w:val="004128EC"/>
    <w:rsid w:val="00431396"/>
    <w:rsid w:val="00465EFB"/>
    <w:rsid w:val="004705F1"/>
    <w:rsid w:val="00472A4D"/>
    <w:rsid w:val="00492330"/>
    <w:rsid w:val="004A0E0F"/>
    <w:rsid w:val="004B44DC"/>
    <w:rsid w:val="004B514B"/>
    <w:rsid w:val="004C0FB6"/>
    <w:rsid w:val="004D5CAA"/>
    <w:rsid w:val="00501D23"/>
    <w:rsid w:val="00522ACE"/>
    <w:rsid w:val="00532734"/>
    <w:rsid w:val="00537573"/>
    <w:rsid w:val="00537780"/>
    <w:rsid w:val="005403C1"/>
    <w:rsid w:val="0056093D"/>
    <w:rsid w:val="0058679A"/>
    <w:rsid w:val="00590E28"/>
    <w:rsid w:val="0059491A"/>
    <w:rsid w:val="005A77FE"/>
    <w:rsid w:val="005B2076"/>
    <w:rsid w:val="005B52C3"/>
    <w:rsid w:val="005C6ACD"/>
    <w:rsid w:val="005D1E24"/>
    <w:rsid w:val="00613102"/>
    <w:rsid w:val="006139B2"/>
    <w:rsid w:val="0061501C"/>
    <w:rsid w:val="00641389"/>
    <w:rsid w:val="00646574"/>
    <w:rsid w:val="00661C2B"/>
    <w:rsid w:val="00666547"/>
    <w:rsid w:val="0067318D"/>
    <w:rsid w:val="0068374A"/>
    <w:rsid w:val="00683CC2"/>
    <w:rsid w:val="00686DD3"/>
    <w:rsid w:val="00695547"/>
    <w:rsid w:val="006D5651"/>
    <w:rsid w:val="006E6040"/>
    <w:rsid w:val="007020A1"/>
    <w:rsid w:val="00706558"/>
    <w:rsid w:val="00726449"/>
    <w:rsid w:val="007432D1"/>
    <w:rsid w:val="00757CF5"/>
    <w:rsid w:val="00772CB0"/>
    <w:rsid w:val="0079414C"/>
    <w:rsid w:val="007949EA"/>
    <w:rsid w:val="0079600A"/>
    <w:rsid w:val="007B2115"/>
    <w:rsid w:val="007B51A2"/>
    <w:rsid w:val="007C306F"/>
    <w:rsid w:val="007C388F"/>
    <w:rsid w:val="007E72AD"/>
    <w:rsid w:val="007F0392"/>
    <w:rsid w:val="007F68D0"/>
    <w:rsid w:val="00812637"/>
    <w:rsid w:val="008132A3"/>
    <w:rsid w:val="0082378F"/>
    <w:rsid w:val="00866F57"/>
    <w:rsid w:val="008B2920"/>
    <w:rsid w:val="008B318C"/>
    <w:rsid w:val="008C0596"/>
    <w:rsid w:val="008D0D76"/>
    <w:rsid w:val="008E698D"/>
    <w:rsid w:val="009032CA"/>
    <w:rsid w:val="009560B5"/>
    <w:rsid w:val="00963FCD"/>
    <w:rsid w:val="00976945"/>
    <w:rsid w:val="00983D9D"/>
    <w:rsid w:val="009934E8"/>
    <w:rsid w:val="009A1FEE"/>
    <w:rsid w:val="009A4246"/>
    <w:rsid w:val="009A7F20"/>
    <w:rsid w:val="009D27A3"/>
    <w:rsid w:val="009D759A"/>
    <w:rsid w:val="009E6F72"/>
    <w:rsid w:val="009F1C15"/>
    <w:rsid w:val="009F3954"/>
    <w:rsid w:val="009F3ACC"/>
    <w:rsid w:val="009F728B"/>
    <w:rsid w:val="009F763D"/>
    <w:rsid w:val="00A0050F"/>
    <w:rsid w:val="00A01503"/>
    <w:rsid w:val="00A16600"/>
    <w:rsid w:val="00A2125F"/>
    <w:rsid w:val="00A26742"/>
    <w:rsid w:val="00A41073"/>
    <w:rsid w:val="00A56E58"/>
    <w:rsid w:val="00A73F03"/>
    <w:rsid w:val="00A80A1C"/>
    <w:rsid w:val="00AC1B98"/>
    <w:rsid w:val="00AF08CC"/>
    <w:rsid w:val="00AF45F8"/>
    <w:rsid w:val="00B07E36"/>
    <w:rsid w:val="00B326A7"/>
    <w:rsid w:val="00B34518"/>
    <w:rsid w:val="00B60BEE"/>
    <w:rsid w:val="00B738F4"/>
    <w:rsid w:val="00BC3EE8"/>
    <w:rsid w:val="00BC6DCD"/>
    <w:rsid w:val="00BE13E5"/>
    <w:rsid w:val="00C06568"/>
    <w:rsid w:val="00C16395"/>
    <w:rsid w:val="00C21F39"/>
    <w:rsid w:val="00C314BD"/>
    <w:rsid w:val="00C54410"/>
    <w:rsid w:val="00C60EA7"/>
    <w:rsid w:val="00C90682"/>
    <w:rsid w:val="00C95072"/>
    <w:rsid w:val="00CA5C56"/>
    <w:rsid w:val="00CB1254"/>
    <w:rsid w:val="00CC5E98"/>
    <w:rsid w:val="00D07012"/>
    <w:rsid w:val="00D12CB3"/>
    <w:rsid w:val="00D12CDC"/>
    <w:rsid w:val="00D21485"/>
    <w:rsid w:val="00D81162"/>
    <w:rsid w:val="00D82976"/>
    <w:rsid w:val="00D90B1F"/>
    <w:rsid w:val="00DB320C"/>
    <w:rsid w:val="00DF067B"/>
    <w:rsid w:val="00DF6744"/>
    <w:rsid w:val="00E372F4"/>
    <w:rsid w:val="00E40312"/>
    <w:rsid w:val="00E531D5"/>
    <w:rsid w:val="00E73116"/>
    <w:rsid w:val="00E84AC0"/>
    <w:rsid w:val="00EA596E"/>
    <w:rsid w:val="00EA5D5E"/>
    <w:rsid w:val="00EB7B0D"/>
    <w:rsid w:val="00EC75EA"/>
    <w:rsid w:val="00ED6E66"/>
    <w:rsid w:val="00EE155F"/>
    <w:rsid w:val="00F15315"/>
    <w:rsid w:val="00F17672"/>
    <w:rsid w:val="00F22828"/>
    <w:rsid w:val="00F24DB9"/>
    <w:rsid w:val="00F54846"/>
    <w:rsid w:val="00F719C5"/>
    <w:rsid w:val="00FA07A1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C63-134E-43ED-96DC-56B08C9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856"/>
    <w:pPr>
      <w:ind w:left="720"/>
      <w:contextualSpacing/>
    </w:pPr>
  </w:style>
  <w:style w:type="paragraph" w:styleId="Bezproreda">
    <w:name w:val="No Spacing"/>
    <w:uiPriority w:val="1"/>
    <w:qFormat/>
    <w:rsid w:val="003D685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Tajnistvo</cp:lastModifiedBy>
  <cp:revision>2</cp:revision>
  <cp:lastPrinted>2020-01-30T13:27:00Z</cp:lastPrinted>
  <dcterms:created xsi:type="dcterms:W3CDTF">2022-02-03T08:43:00Z</dcterms:created>
  <dcterms:modified xsi:type="dcterms:W3CDTF">2022-02-03T08:43:00Z</dcterms:modified>
</cp:coreProperties>
</file>